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v:background id="_x0000_s1025" o:bwmode="white" o:targetscreensize="800,600">
      <v:fill r:id="rId3" o:title="eclbkgnd" type="frame"/>
    </v:background>
  </w:background>
  <w:body>
    <w:p w:rsidR="0021437F" w:rsidRDefault="008208E8" w:rsidP="00917C86">
      <w:pPr>
        <w:jc w:val="center"/>
        <w:rPr>
          <w:b/>
          <w:sz w:val="32"/>
          <w:szCs w:val="32"/>
        </w:rPr>
      </w:pPr>
      <w:r>
        <w:rPr>
          <w:b/>
          <w:noProof/>
          <w:sz w:val="32"/>
          <w:szCs w:val="32"/>
        </w:rPr>
        <w:drawing>
          <wp:inline distT="0" distB="0" distL="0" distR="0">
            <wp:extent cx="3829050" cy="771525"/>
            <wp:effectExtent l="19050" t="0" r="0" b="0"/>
            <wp:docPr id="1" name="Picture 2" descr="UPG Tech Serv 3D-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PG Tech Serv 3D-2-GIF"/>
                    <pic:cNvPicPr>
                      <a:picLocks noChangeAspect="1" noChangeArrowheads="1"/>
                    </pic:cNvPicPr>
                  </pic:nvPicPr>
                  <pic:blipFill>
                    <a:blip r:embed="rId8"/>
                    <a:srcRect/>
                    <a:stretch>
                      <a:fillRect/>
                    </a:stretch>
                  </pic:blipFill>
                  <pic:spPr bwMode="auto">
                    <a:xfrm>
                      <a:off x="0" y="0"/>
                      <a:ext cx="3829050" cy="771525"/>
                    </a:xfrm>
                    <a:prstGeom prst="rect">
                      <a:avLst/>
                    </a:prstGeom>
                    <a:noFill/>
                  </pic:spPr>
                </pic:pic>
              </a:graphicData>
            </a:graphic>
          </wp:inline>
        </w:drawing>
      </w:r>
    </w:p>
    <w:p w:rsidR="0021437F" w:rsidRDefault="0021437F" w:rsidP="00917C86">
      <w:pPr>
        <w:jc w:val="center"/>
        <w:rPr>
          <w:b/>
          <w:sz w:val="32"/>
          <w:szCs w:val="32"/>
        </w:rPr>
      </w:pPr>
    </w:p>
    <w:p w:rsidR="00FD197B" w:rsidRDefault="00FD197B" w:rsidP="00917C86">
      <w:pPr>
        <w:jc w:val="center"/>
        <w:rPr>
          <w:b/>
          <w:sz w:val="36"/>
          <w:szCs w:val="36"/>
        </w:rPr>
      </w:pPr>
    </w:p>
    <w:p w:rsidR="00917C86" w:rsidRDefault="008208E8" w:rsidP="008208E8">
      <w:pPr>
        <w:jc w:val="center"/>
        <w:rPr>
          <w:b/>
          <w:sz w:val="36"/>
          <w:szCs w:val="36"/>
        </w:rPr>
      </w:pPr>
      <w:r>
        <w:rPr>
          <w:b/>
          <w:sz w:val="36"/>
          <w:szCs w:val="36"/>
        </w:rPr>
        <w:t xml:space="preserve">Service Tips </w:t>
      </w:r>
      <w:r w:rsidR="002844E1" w:rsidRPr="00FD197B">
        <w:rPr>
          <w:b/>
          <w:sz w:val="36"/>
          <w:szCs w:val="36"/>
        </w:rPr>
        <w:t>Number #</w:t>
      </w:r>
      <w:r>
        <w:rPr>
          <w:b/>
          <w:sz w:val="36"/>
          <w:szCs w:val="36"/>
        </w:rPr>
        <w:t xml:space="preserve"> ST-012-01</w:t>
      </w:r>
    </w:p>
    <w:p w:rsidR="00FD197B" w:rsidRPr="00FD197B" w:rsidRDefault="00FD197B" w:rsidP="00917C86">
      <w:pPr>
        <w:jc w:val="center"/>
        <w:rPr>
          <w:b/>
          <w:sz w:val="36"/>
          <w:szCs w:val="36"/>
        </w:rPr>
      </w:pPr>
    </w:p>
    <w:p w:rsidR="002844E1" w:rsidRPr="00917C86" w:rsidRDefault="00247F32" w:rsidP="00917C86">
      <w:pPr>
        <w:jc w:val="center"/>
        <w:rPr>
          <w:b/>
          <w:sz w:val="32"/>
          <w:szCs w:val="32"/>
        </w:rPr>
      </w:pPr>
      <w:r w:rsidRPr="00915CAF">
        <w:rPr>
          <w:noProof/>
          <w:sz w:val="28"/>
          <w:szCs w:val="28"/>
        </w:rPr>
        <w:pict>
          <v:line id="_x0000_s1031" style="position:absolute;left:0;text-align:left;z-index:251654144" from="18pt,11.25pt" to="441pt,11.25pt" strokeweight="6pt">
            <v:stroke linestyle="thickBetweenThin"/>
          </v:line>
        </w:pict>
      </w:r>
    </w:p>
    <w:p w:rsidR="00917C86" w:rsidRDefault="00917C86" w:rsidP="00917C86">
      <w:pPr>
        <w:jc w:val="center"/>
      </w:pPr>
    </w:p>
    <w:p w:rsidR="00917C86" w:rsidRDefault="00917C86" w:rsidP="00917C86">
      <w:pPr>
        <w:jc w:val="center"/>
      </w:pPr>
    </w:p>
    <w:p w:rsidR="00207A0E" w:rsidRDefault="002844E1" w:rsidP="00207A0E">
      <w:pPr>
        <w:numPr>
          <w:ilvl w:val="0"/>
          <w:numId w:val="1"/>
        </w:numPr>
        <w:tabs>
          <w:tab w:val="left" w:pos="1440"/>
        </w:tabs>
        <w:ind w:left="1440" w:hanging="1440"/>
        <w:jc w:val="both"/>
        <w:rPr>
          <w:sz w:val="28"/>
          <w:szCs w:val="28"/>
        </w:rPr>
      </w:pPr>
      <w:r w:rsidRPr="00915CAF">
        <w:rPr>
          <w:sz w:val="28"/>
          <w:szCs w:val="28"/>
        </w:rPr>
        <w:t>TOPIC</w:t>
      </w:r>
      <w:r w:rsidR="00915CAF" w:rsidRPr="00915CAF">
        <w:rPr>
          <w:sz w:val="28"/>
          <w:szCs w:val="28"/>
        </w:rPr>
        <w:t>:</w:t>
      </w:r>
    </w:p>
    <w:p w:rsidR="00915CAF" w:rsidRDefault="00207A0E" w:rsidP="00207A0E">
      <w:pPr>
        <w:numPr>
          <w:ilvl w:val="1"/>
          <w:numId w:val="1"/>
        </w:numPr>
        <w:tabs>
          <w:tab w:val="left" w:pos="1440"/>
        </w:tabs>
        <w:jc w:val="both"/>
        <w:rPr>
          <w:sz w:val="28"/>
          <w:szCs w:val="28"/>
        </w:rPr>
      </w:pPr>
      <w:r>
        <w:rPr>
          <w:sz w:val="28"/>
          <w:szCs w:val="28"/>
        </w:rPr>
        <w:t>Enabling of the GVX9000 VFD on 15 through 25 Ton Packaged Rooftops</w:t>
      </w:r>
    </w:p>
    <w:p w:rsidR="00247F32" w:rsidRDefault="00247F32" w:rsidP="00247F32">
      <w:pPr>
        <w:jc w:val="both"/>
        <w:rPr>
          <w:sz w:val="28"/>
          <w:szCs w:val="28"/>
        </w:rPr>
      </w:pPr>
    </w:p>
    <w:p w:rsidR="00247F32" w:rsidRPr="00915CAF" w:rsidRDefault="00247F32" w:rsidP="00247F32">
      <w:pPr>
        <w:jc w:val="both"/>
        <w:rPr>
          <w:sz w:val="28"/>
          <w:szCs w:val="28"/>
        </w:rPr>
      </w:pPr>
    </w:p>
    <w:p w:rsidR="002844E1" w:rsidRDefault="002844E1" w:rsidP="002844E1">
      <w:pPr>
        <w:numPr>
          <w:ilvl w:val="0"/>
          <w:numId w:val="1"/>
        </w:numPr>
        <w:jc w:val="both"/>
        <w:rPr>
          <w:sz w:val="28"/>
          <w:szCs w:val="28"/>
        </w:rPr>
      </w:pPr>
      <w:r w:rsidRPr="00915CAF">
        <w:rPr>
          <w:sz w:val="28"/>
          <w:szCs w:val="28"/>
        </w:rPr>
        <w:t>SCOPE &amp; PURPOSE</w:t>
      </w:r>
      <w:r w:rsidR="00915CAF" w:rsidRPr="00915CAF">
        <w:rPr>
          <w:sz w:val="28"/>
          <w:szCs w:val="28"/>
        </w:rPr>
        <w:t>:</w:t>
      </w:r>
    </w:p>
    <w:p w:rsidR="00247F32" w:rsidRPr="00C532D5" w:rsidRDefault="00207A0E" w:rsidP="00247F32">
      <w:pPr>
        <w:numPr>
          <w:ilvl w:val="1"/>
          <w:numId w:val="1"/>
        </w:numPr>
        <w:jc w:val="both"/>
      </w:pPr>
      <w:r>
        <w:t xml:space="preserve">There have been reports of the indoor blower motor not starting when commanded to energize on 15 though 25 ton package units that utilize the GVX9000 VFD.  </w:t>
      </w:r>
      <w:r w:rsidR="00B432A0">
        <w:t>This usually occurs on a transition from unoccupied to occupied modes.  It could also occur with a momentary interruption of power to the unit</w:t>
      </w:r>
      <w:r w:rsidR="005B3B2B">
        <w:t xml:space="preserve"> or any time the indoor blower is commanded ON during the unoccupied mode</w:t>
      </w:r>
      <w:r w:rsidR="00B432A0">
        <w:t>.  The cause appears to be a timing issue between initializing, or power-up, of the vfd and the enable command, both of which are provided through a contactor that is energized by the FAN output on the Simplicity 1A control.  The purpose of this letter is to provide an alternate method of enabling the vfd in order to eliminate the timing issue.</w:t>
      </w:r>
    </w:p>
    <w:p w:rsidR="00247F32" w:rsidRPr="00915CAF" w:rsidRDefault="00247F32" w:rsidP="00247F32">
      <w:pPr>
        <w:jc w:val="both"/>
        <w:rPr>
          <w:sz w:val="28"/>
          <w:szCs w:val="28"/>
        </w:rPr>
      </w:pPr>
    </w:p>
    <w:p w:rsidR="00FD197B" w:rsidRDefault="00FD197B" w:rsidP="002844E1">
      <w:pPr>
        <w:numPr>
          <w:ilvl w:val="0"/>
          <w:numId w:val="1"/>
        </w:numPr>
        <w:jc w:val="both"/>
        <w:rPr>
          <w:sz w:val="28"/>
          <w:szCs w:val="28"/>
        </w:rPr>
      </w:pPr>
      <w:r w:rsidRPr="00915CAF">
        <w:rPr>
          <w:sz w:val="28"/>
          <w:szCs w:val="28"/>
        </w:rPr>
        <w:t>CONTENT</w:t>
      </w:r>
      <w:r w:rsidR="00915CAF" w:rsidRPr="00915CAF">
        <w:rPr>
          <w:sz w:val="28"/>
          <w:szCs w:val="28"/>
        </w:rPr>
        <w:t>:</w:t>
      </w:r>
    </w:p>
    <w:p w:rsidR="00467D35" w:rsidRDefault="00B432A0" w:rsidP="00467D35">
      <w:pPr>
        <w:numPr>
          <w:ilvl w:val="1"/>
          <w:numId w:val="1"/>
        </w:numPr>
        <w:jc w:val="both"/>
      </w:pPr>
      <w:r>
        <w:t>As buil</w:t>
      </w:r>
      <w:r w:rsidR="005B3B2B">
        <w:t>t</w:t>
      </w:r>
      <w:r>
        <w:t xml:space="preserve"> from the factory, the 15 through 25 ton packaged VAV units utilize an Eaton GVX9000 vfd.  The vfd is powered through a contactor that is energized by the FAN output on the Simplicity 1A control.  That output is ON when the unit is commanded into an occupied mode, or when unit operation is requested during the unoccupied (i.e., unoccupied heating).  When the FAN output is turned ON, the conatactor is energized</w:t>
      </w:r>
      <w:r w:rsidR="005B3B2B">
        <w:t>,</w:t>
      </w:r>
      <w:r>
        <w:t xml:space="preserve"> the vfd is provided power</w:t>
      </w:r>
      <w:r w:rsidR="005B3B2B">
        <w:t xml:space="preserve"> and it goes through a brief initialization period.  The same contactor has an auxiliary contact that enables the vfd at the same time that the vfd is powered.  </w:t>
      </w:r>
      <w:r w:rsidR="00467D35">
        <w:t>Enabling the vfd during the initialization period can cause an intermittent condition where the vfd display shows an output to the motor, but there is no output and the motor does not run.  This can cause a number of alarms depending on the configuration of the unit’s Simplicity controls.</w:t>
      </w:r>
    </w:p>
    <w:p w:rsidR="00467D35" w:rsidRDefault="00467D35" w:rsidP="00467D35">
      <w:pPr>
        <w:numPr>
          <w:ilvl w:val="1"/>
          <w:numId w:val="1"/>
        </w:numPr>
        <w:jc w:val="both"/>
      </w:pPr>
      <w:r>
        <w:t xml:space="preserve">To remedy this condition the GVX9000 can be configured to enable itself through one of its own relays.  The relay can be configured to close only when the vfd is READY, or has completed its initialization period, and will eliminate the timing issue </w:t>
      </w:r>
      <w:r>
        <w:lastRenderedPageBreak/>
        <w:t>created by the dual use of the contactor to power and enable the drive simultaneously.  To accomplish this, perform the following tasks:</w:t>
      </w:r>
    </w:p>
    <w:p w:rsidR="00467D35" w:rsidRDefault="00467D35" w:rsidP="00467D35">
      <w:pPr>
        <w:numPr>
          <w:ilvl w:val="2"/>
          <w:numId w:val="1"/>
        </w:numPr>
        <w:jc w:val="both"/>
      </w:pPr>
      <w:r>
        <w:t>Remove factory wires from COM and D1 and the GVX9000 terminal block and tie them back.</w:t>
      </w:r>
    </w:p>
    <w:p w:rsidR="00467D35" w:rsidRDefault="00467D35" w:rsidP="00467D35">
      <w:pPr>
        <w:numPr>
          <w:ilvl w:val="2"/>
          <w:numId w:val="1"/>
        </w:numPr>
        <w:jc w:val="both"/>
      </w:pPr>
      <w:r>
        <w:t>Fabricate and install two (2) jumpers on the GVX9000 terminal block as follows:</w:t>
      </w:r>
    </w:p>
    <w:p w:rsidR="00467D35" w:rsidRDefault="00467D35" w:rsidP="00467D35">
      <w:pPr>
        <w:numPr>
          <w:ilvl w:val="3"/>
          <w:numId w:val="1"/>
        </w:numPr>
        <w:jc w:val="both"/>
      </w:pPr>
      <w:r>
        <w:t>COM to DOC</w:t>
      </w:r>
    </w:p>
    <w:p w:rsidR="00467D35" w:rsidRDefault="00467D35" w:rsidP="00467D35">
      <w:pPr>
        <w:numPr>
          <w:ilvl w:val="3"/>
          <w:numId w:val="1"/>
        </w:numPr>
        <w:jc w:val="both"/>
      </w:pPr>
      <w:r>
        <w:t>DO1 to D1</w:t>
      </w:r>
    </w:p>
    <w:p w:rsidR="00467D35" w:rsidRDefault="00467D35" w:rsidP="00467D35">
      <w:pPr>
        <w:numPr>
          <w:ilvl w:val="2"/>
          <w:numId w:val="1"/>
        </w:numPr>
        <w:jc w:val="both"/>
      </w:pPr>
      <w:r>
        <w:t>Change the following GVX9000 parameters:</w:t>
      </w:r>
    </w:p>
    <w:p w:rsidR="00467D35" w:rsidRDefault="00467D35" w:rsidP="00467D35">
      <w:pPr>
        <w:numPr>
          <w:ilvl w:val="3"/>
          <w:numId w:val="1"/>
        </w:numPr>
        <w:jc w:val="both"/>
      </w:pPr>
      <w:r>
        <w:t>40.05 to a value of 01</w:t>
      </w:r>
      <w:r w:rsidR="007124CE">
        <w:t xml:space="preserve"> (READY)</w:t>
      </w:r>
    </w:p>
    <w:p w:rsidR="00467D35" w:rsidRDefault="00467D35" w:rsidP="00467D35">
      <w:pPr>
        <w:numPr>
          <w:ilvl w:val="3"/>
          <w:numId w:val="1"/>
        </w:numPr>
        <w:jc w:val="both"/>
      </w:pPr>
      <w:r>
        <w:t>50.42 to a value of 01</w:t>
      </w:r>
    </w:p>
    <w:p w:rsidR="00467D35" w:rsidRDefault="00467D35" w:rsidP="00467D35">
      <w:pPr>
        <w:numPr>
          <w:ilvl w:val="3"/>
          <w:numId w:val="1"/>
        </w:numPr>
        <w:jc w:val="both"/>
      </w:pPr>
      <w:r>
        <w:t>50.46 to a value of 0</w:t>
      </w:r>
    </w:p>
    <w:p w:rsidR="00467D35" w:rsidRDefault="00467D35" w:rsidP="00467D35">
      <w:pPr>
        <w:numPr>
          <w:ilvl w:val="3"/>
          <w:numId w:val="1"/>
        </w:numPr>
        <w:jc w:val="both"/>
      </w:pPr>
      <w:r>
        <w:t>70.21 to a value of 2 secs</w:t>
      </w:r>
    </w:p>
    <w:p w:rsidR="00467D35" w:rsidRDefault="00467D35" w:rsidP="00467D35">
      <w:pPr>
        <w:numPr>
          <w:ilvl w:val="2"/>
          <w:numId w:val="1"/>
        </w:numPr>
        <w:jc w:val="both"/>
      </w:pPr>
      <w:r>
        <w:t>The sequence after making the above changes will be:</w:t>
      </w:r>
    </w:p>
    <w:p w:rsidR="00467D35" w:rsidRDefault="007124CE" w:rsidP="00467D35">
      <w:pPr>
        <w:numPr>
          <w:ilvl w:val="3"/>
          <w:numId w:val="1"/>
        </w:numPr>
        <w:jc w:val="both"/>
      </w:pPr>
      <w:r>
        <w:t>Command the unit occupied or into any condition which requires the indoor blower operation</w:t>
      </w:r>
    </w:p>
    <w:p w:rsidR="007124CE" w:rsidRDefault="007124CE" w:rsidP="00467D35">
      <w:pPr>
        <w:numPr>
          <w:ilvl w:val="3"/>
          <w:numId w:val="1"/>
        </w:numPr>
        <w:jc w:val="both"/>
      </w:pPr>
      <w:r>
        <w:t>Indoor blower contactor is energized powering up the vfd</w:t>
      </w:r>
    </w:p>
    <w:p w:rsidR="007124CE" w:rsidRDefault="007124CE" w:rsidP="007124CE">
      <w:pPr>
        <w:numPr>
          <w:ilvl w:val="3"/>
          <w:numId w:val="1"/>
        </w:numPr>
        <w:jc w:val="both"/>
      </w:pPr>
      <w:r>
        <w:t>After the vfd initialization period is complete, the GVX9000 relay DOC to DO1 will close sending the enable command to D1, the RUN/STOP input</w:t>
      </w:r>
    </w:p>
    <w:p w:rsidR="005F41BB" w:rsidRDefault="005F41BB" w:rsidP="005F41BB">
      <w:pPr>
        <w:jc w:val="both"/>
      </w:pPr>
    </w:p>
    <w:p w:rsidR="005F41BB" w:rsidRDefault="005F41BB" w:rsidP="005F41BB">
      <w:pPr>
        <w:jc w:val="both"/>
      </w:pPr>
    </w:p>
    <w:p w:rsidR="005F41BB" w:rsidRPr="00C532D5" w:rsidRDefault="00255860" w:rsidP="005F41BB">
      <w:pPr>
        <w:ind w:left="1080"/>
        <w:jc w:val="both"/>
      </w:pPr>
      <w:r>
        <w:rPr>
          <w:noProof/>
        </w:rPr>
        <w:pict>
          <v:shape id="_x0000_s1040" style="position:absolute;left:0;text-align:left;margin-left:179.25pt;margin-top:7.15pt;width:138.75pt;height:83.1pt;z-index:251660288" coordsize="2685,1662" path="m2685,1662r-1275,l450,,,e" filled="f" strokeweight="2pt">
            <v:path arrowok="t"/>
          </v:shape>
        </w:pict>
      </w:r>
      <w:r w:rsidR="00A4089D">
        <w:rPr>
          <w:noProof/>
        </w:rPr>
        <w:pict>
          <v:shapetype id="_x0000_t202" coordsize="21600,21600" o:spt="202" path="m,l,21600r21600,l21600,xe">
            <v:stroke joinstyle="miter"/>
            <v:path gradientshapeok="t" o:connecttype="rect"/>
          </v:shapetype>
          <v:shape id="_x0000_s1038" type="#_x0000_t202" style="position:absolute;left:0;text-align:left;margin-left:330.45pt;margin-top:120.35pt;width:37pt;height:17.15pt;z-index:251659264;mso-height-percent:200;mso-height-percent:200;mso-width-relative:margin;mso-height-relative:margin" strokecolor="white">
            <v:textbox style="mso-fit-shape-to-text:t">
              <w:txbxContent>
                <w:p w:rsidR="00A4089D" w:rsidRPr="00A4089D" w:rsidRDefault="00A4089D" w:rsidP="00A4089D">
                  <w:pPr>
                    <w:rPr>
                      <w:rFonts w:ascii="Arial" w:hAnsi="Arial" w:cs="Arial"/>
                      <w:b/>
                      <w:sz w:val="16"/>
                      <w:szCs w:val="16"/>
                    </w:rPr>
                  </w:pPr>
                  <w:r>
                    <w:rPr>
                      <w:rFonts w:ascii="Arial" w:hAnsi="Arial" w:cs="Arial"/>
                      <w:b/>
                      <w:color w:val="auto"/>
                      <w:sz w:val="16"/>
                      <w:szCs w:val="16"/>
                    </w:rPr>
                    <w:t>DO2</w:t>
                  </w:r>
                </w:p>
              </w:txbxContent>
            </v:textbox>
          </v:shape>
        </w:pict>
      </w:r>
      <w:r w:rsidR="00A4089D">
        <w:rPr>
          <w:noProof/>
          <w:lang w:eastAsia="zh-TW"/>
        </w:rPr>
        <w:pict>
          <v:shape id="_x0000_s1037" type="#_x0000_t202" style="position:absolute;left:0;text-align:left;margin-left:330.05pt;margin-top:80.5pt;width:37pt;height:17.15pt;z-index:251658240;mso-height-percent:200;mso-height-percent:200;mso-width-relative:margin;mso-height-relative:margin" strokecolor="white">
            <v:textbox style="mso-fit-shape-to-text:t">
              <w:txbxContent>
                <w:p w:rsidR="00A4089D" w:rsidRPr="00A4089D" w:rsidRDefault="00A4089D">
                  <w:pPr>
                    <w:rPr>
                      <w:rFonts w:ascii="Arial" w:hAnsi="Arial" w:cs="Arial"/>
                      <w:b/>
                      <w:sz w:val="16"/>
                      <w:szCs w:val="16"/>
                    </w:rPr>
                  </w:pPr>
                  <w:r w:rsidRPr="00A4089D">
                    <w:rPr>
                      <w:rFonts w:ascii="Arial" w:hAnsi="Arial" w:cs="Arial"/>
                      <w:b/>
                      <w:color w:val="auto"/>
                      <w:sz w:val="16"/>
                      <w:szCs w:val="16"/>
                    </w:rPr>
                    <w:t>DO1</w:t>
                  </w:r>
                </w:p>
              </w:txbxContent>
            </v:textbox>
          </v:shape>
        </w:pict>
      </w:r>
      <w:r w:rsidR="00A4089D">
        <w:rPr>
          <w:noProof/>
        </w:rPr>
        <w:pict>
          <v:shape id="_x0000_s1036" style="position:absolute;left:0;text-align:left;margin-left:183.75pt;margin-top:148.75pt;width:134.25pt;height:6pt;z-index:251657216" coordsize="2610,120" path="m,120l150,,2520,r90,30e" filled="f" strokeweight="2pt">
            <v:path arrowok="t"/>
          </v:shape>
        </w:pict>
      </w:r>
      <w:r w:rsidR="00A4089D">
        <w:rPr>
          <w:noProof/>
        </w:rPr>
        <w:pict>
          <v:rect id="_x0000_s1033" style="position:absolute;left:0;text-align:left;margin-left:51pt;margin-top:160.75pt;width:97.5pt;height:12.75pt;z-index:251656192" strokecolor="white"/>
        </w:pict>
      </w:r>
      <w:r w:rsidR="005F41BB">
        <w:rPr>
          <w:noProof/>
        </w:rPr>
        <w:pict>
          <v:rect id="_x0000_s1032" style="position:absolute;left:0;text-align:left;margin-left:261.75pt;margin-top:80.5pt;width:52.5pt;height:74.25pt;z-index:251655168" strokecolor="white"/>
        </w:pict>
      </w:r>
      <w:r w:rsidR="008208E8">
        <w:rPr>
          <w:noProof/>
        </w:rPr>
        <w:drawing>
          <wp:inline distT="0" distB="0" distL="0" distR="0">
            <wp:extent cx="3524250" cy="220027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3524250" cy="2200275"/>
                    </a:xfrm>
                    <a:prstGeom prst="rect">
                      <a:avLst/>
                    </a:prstGeom>
                    <a:noFill/>
                    <a:ln w="9525">
                      <a:noFill/>
                      <a:miter lim="800000"/>
                      <a:headEnd/>
                      <a:tailEnd/>
                    </a:ln>
                  </pic:spPr>
                </pic:pic>
              </a:graphicData>
            </a:graphic>
          </wp:inline>
        </w:drawing>
      </w:r>
    </w:p>
    <w:p w:rsidR="004F3FED" w:rsidRPr="00C532D5" w:rsidRDefault="004F3FED" w:rsidP="005F41BB">
      <w:pPr>
        <w:ind w:left="2160"/>
        <w:jc w:val="both"/>
      </w:pPr>
    </w:p>
    <w:p w:rsidR="004F3FED" w:rsidRPr="00915CAF" w:rsidRDefault="004F3FED" w:rsidP="004F3FED">
      <w:pPr>
        <w:jc w:val="both"/>
        <w:rPr>
          <w:sz w:val="28"/>
          <w:szCs w:val="28"/>
        </w:rPr>
      </w:pPr>
    </w:p>
    <w:p w:rsidR="00FD197B" w:rsidRDefault="00504D20" w:rsidP="002844E1">
      <w:pPr>
        <w:numPr>
          <w:ilvl w:val="0"/>
          <w:numId w:val="1"/>
        </w:numPr>
        <w:jc w:val="both"/>
        <w:rPr>
          <w:sz w:val="28"/>
          <w:szCs w:val="28"/>
        </w:rPr>
      </w:pPr>
      <w:r w:rsidRPr="00915CAF">
        <w:rPr>
          <w:sz w:val="28"/>
          <w:szCs w:val="28"/>
        </w:rPr>
        <w:t>SUMMARY/CONCLUSION</w:t>
      </w:r>
      <w:r w:rsidR="00915CAF" w:rsidRPr="00915CAF">
        <w:rPr>
          <w:sz w:val="28"/>
          <w:szCs w:val="28"/>
        </w:rPr>
        <w:t>:</w:t>
      </w:r>
    </w:p>
    <w:p w:rsidR="004F3FED" w:rsidRPr="00C532D5" w:rsidRDefault="00255860" w:rsidP="004F3FED">
      <w:pPr>
        <w:numPr>
          <w:ilvl w:val="1"/>
          <w:numId w:val="1"/>
        </w:numPr>
        <w:jc w:val="both"/>
      </w:pPr>
      <w:r>
        <w:t>Enabling of the GVX9000 during the time when the vfd is going through a brief initialization period can cause a condition where the vfd does not provide any output to the indoor blower motor even though the vfd display indicates an output.  This can be remedied by using one of the GVX9000 relays for the enable command and eliminating the auxiliary contact on the blower contactor that is used for the enable command.</w:t>
      </w:r>
    </w:p>
    <w:p w:rsidR="004F3FED" w:rsidRDefault="004F3FED" w:rsidP="004F3FED">
      <w:pPr>
        <w:jc w:val="both"/>
        <w:rPr>
          <w:sz w:val="28"/>
          <w:szCs w:val="28"/>
        </w:rPr>
      </w:pPr>
    </w:p>
    <w:p w:rsidR="004F3FED" w:rsidRPr="00915CAF" w:rsidRDefault="004F3FED" w:rsidP="004F3FED">
      <w:pPr>
        <w:jc w:val="both"/>
        <w:rPr>
          <w:sz w:val="28"/>
          <w:szCs w:val="28"/>
        </w:rPr>
      </w:pPr>
    </w:p>
    <w:p w:rsidR="00504D20" w:rsidRDefault="00504D20" w:rsidP="002844E1">
      <w:pPr>
        <w:numPr>
          <w:ilvl w:val="0"/>
          <w:numId w:val="1"/>
        </w:numPr>
        <w:jc w:val="both"/>
        <w:rPr>
          <w:sz w:val="28"/>
          <w:szCs w:val="28"/>
        </w:rPr>
      </w:pPr>
      <w:r w:rsidRPr="00915CAF">
        <w:rPr>
          <w:sz w:val="28"/>
          <w:szCs w:val="28"/>
        </w:rPr>
        <w:lastRenderedPageBreak/>
        <w:t>AUTHOR</w:t>
      </w:r>
      <w:r w:rsidR="00915CAF" w:rsidRPr="00915CAF">
        <w:rPr>
          <w:sz w:val="28"/>
          <w:szCs w:val="28"/>
        </w:rPr>
        <w:t>:</w:t>
      </w:r>
    </w:p>
    <w:p w:rsidR="004F3FED" w:rsidRDefault="00255860" w:rsidP="004F3FED">
      <w:pPr>
        <w:numPr>
          <w:ilvl w:val="1"/>
          <w:numId w:val="1"/>
        </w:numPr>
        <w:jc w:val="both"/>
      </w:pPr>
      <w:r>
        <w:t>Robin A. Russo</w:t>
      </w:r>
    </w:p>
    <w:p w:rsidR="007A2F3C" w:rsidRDefault="00255860" w:rsidP="00255860">
      <w:pPr>
        <w:numPr>
          <w:ilvl w:val="1"/>
          <w:numId w:val="1"/>
        </w:numPr>
        <w:jc w:val="both"/>
      </w:pPr>
      <w:r>
        <w:t>March 1, 2012</w:t>
      </w:r>
    </w:p>
    <w:sectPr w:rsidR="007A2F3C">
      <w:footerReference w:type="default" r:id="rId10"/>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6A41" w:rsidRDefault="00DD6A41">
      <w:r>
        <w:separator/>
      </w:r>
    </w:p>
  </w:endnote>
  <w:endnote w:type="continuationSeparator" w:id="0">
    <w:p w:rsidR="00DD6A41" w:rsidRDefault="00DD6A4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89D" w:rsidRDefault="00A4089D" w:rsidP="00FD197B">
    <w:pPr>
      <w:pStyle w:val="Footer"/>
      <w:jc w:val="center"/>
    </w:pPr>
    <w:smartTag w:uri="urn:schemas-microsoft-com:office:smarttags" w:element="City">
      <w:smartTag w:uri="urn:schemas-microsoft-com:office:smarttags" w:element="place">
        <w:r>
          <w:t>York</w:t>
        </w:r>
      </w:smartTag>
    </w:smartTag>
    <w:r>
      <w:t xml:space="preserve"> International UPG</w:t>
    </w:r>
  </w:p>
  <w:p w:rsidR="00A4089D" w:rsidRDefault="00A4089D" w:rsidP="00FD197B">
    <w:pPr>
      <w:pStyle w:val="Footer"/>
      <w:jc w:val="center"/>
    </w:pPr>
    <w:r>
      <w:t>Technical Services</w:t>
    </w:r>
  </w:p>
  <w:p w:rsidR="00A4089D" w:rsidRDefault="00A4089D" w:rsidP="00FD197B">
    <w:pPr>
      <w:pStyle w:val="Footer"/>
      <w:jc w:val="center"/>
    </w:pPr>
    <w:smartTag w:uri="urn:schemas-microsoft-com:office:smarttags" w:element="Street">
      <w:smartTag w:uri="urn:schemas-microsoft-com:office:smarttags" w:element="address">
        <w:r>
          <w:t>5005 York Drive</w:t>
        </w:r>
      </w:smartTag>
    </w:smartTag>
  </w:p>
  <w:p w:rsidR="00A4089D" w:rsidRDefault="00A4089D" w:rsidP="00FD197B">
    <w:pPr>
      <w:pStyle w:val="Footer"/>
      <w:jc w:val="center"/>
    </w:pPr>
    <w:smartTag w:uri="urn:schemas-microsoft-com:office:smarttags" w:element="place">
      <w:smartTag w:uri="urn:schemas-microsoft-com:office:smarttags" w:element="City">
        <w:r>
          <w:t>Norman</w:t>
        </w:r>
      </w:smartTag>
      <w:r>
        <w:t xml:space="preserve">, </w:t>
      </w:r>
      <w:smartTag w:uri="urn:schemas-microsoft-com:office:smarttags" w:element="State">
        <w:r>
          <w:t>OK</w:t>
        </w:r>
      </w:smartTag>
      <w:r>
        <w:t xml:space="preserve"> </w:t>
      </w:r>
      <w:smartTag w:uri="urn:schemas-microsoft-com:office:smarttags" w:element="PostalCode">
        <w:r>
          <w:t>73069</w:t>
        </w:r>
      </w:smartTag>
    </w:smartTag>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6A41" w:rsidRDefault="00DD6A41">
      <w:r>
        <w:separator/>
      </w:r>
    </w:p>
  </w:footnote>
  <w:footnote w:type="continuationSeparator" w:id="0">
    <w:p w:rsidR="00DD6A41" w:rsidRDefault="00DD6A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pt;height:9pt" o:bullet="t">
        <v:imagedata r:id="rId1" o:title="bullet1"/>
      </v:shape>
    </w:pict>
  </w:numPicBullet>
  <w:numPicBullet w:numPicBulletId="1">
    <w:pict>
      <v:shape id="_x0000_i1029" type="#_x0000_t75" style="width:9pt;height:9pt" o:bullet="t">
        <v:imagedata r:id="rId2" o:title="bullet2"/>
      </v:shape>
    </w:pict>
  </w:numPicBullet>
  <w:numPicBullet w:numPicBulletId="2">
    <w:pict>
      <v:shape id="_x0000_i1030" type="#_x0000_t75" style="width:9pt;height:9pt" o:bullet="t">
        <v:imagedata r:id="rId3" o:title="bullet3"/>
      </v:shape>
    </w:pict>
  </w:numPicBullet>
  <w:abstractNum w:abstractNumId="0">
    <w:nsid w:val="77066033"/>
    <w:multiLevelType w:val="multilevel"/>
    <w:tmpl w:val="50648B5C"/>
    <w:lvl w:ilvl="0">
      <w:start w:val="1"/>
      <w:numFmt w:val="bullet"/>
      <w:lvlText w:val=""/>
      <w:lvlPicBulletId w:val="0"/>
      <w:lvlJc w:val="left"/>
      <w:pPr>
        <w:tabs>
          <w:tab w:val="num" w:pos="360"/>
        </w:tabs>
        <w:ind w:left="360" w:hanging="360"/>
      </w:pPr>
      <w:rPr>
        <w:rFonts w:ascii="Wingdings" w:hAnsi="Wingdings" w:hint="default"/>
      </w:rPr>
    </w:lvl>
    <w:lvl w:ilvl="1">
      <w:start w:val="1"/>
      <w:numFmt w:val="bullet"/>
      <w:lvlText w:val=""/>
      <w:lvlPicBulletId w:val="1"/>
      <w:lvlJc w:val="left"/>
      <w:pPr>
        <w:tabs>
          <w:tab w:val="num" w:pos="720"/>
        </w:tabs>
        <w:ind w:left="720" w:hanging="360"/>
      </w:pPr>
      <w:rPr>
        <w:rFonts w:ascii="Wingdings" w:hAnsi="Wingdings" w:hint="default"/>
      </w:rPr>
    </w:lvl>
    <w:lvl w:ilvl="2">
      <w:start w:val="1"/>
      <w:numFmt w:val="bullet"/>
      <w:lvlText w:val=""/>
      <w:lvlPicBulletId w:val="2"/>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efaultTabStop w:val="720"/>
  <w:defaultTableStyle w:val="TableTheme"/>
  <w:characterSpacingControl w:val="doNotCompress"/>
  <w:footnotePr>
    <w:footnote w:id="-1"/>
    <w:footnote w:id="0"/>
  </w:footnotePr>
  <w:endnotePr>
    <w:endnote w:id="-1"/>
    <w:endnote w:id="0"/>
  </w:endnotePr>
  <w:compat/>
  <w:rsids>
    <w:rsidRoot w:val="00917C86"/>
    <w:rsid w:val="00013086"/>
    <w:rsid w:val="000139A4"/>
    <w:rsid w:val="0001743E"/>
    <w:rsid w:val="00031737"/>
    <w:rsid w:val="00032615"/>
    <w:rsid w:val="000718C7"/>
    <w:rsid w:val="000731D5"/>
    <w:rsid w:val="00087C3F"/>
    <w:rsid w:val="000D254D"/>
    <w:rsid w:val="000D6FF1"/>
    <w:rsid w:val="0010377C"/>
    <w:rsid w:val="00185360"/>
    <w:rsid w:val="00191FD2"/>
    <w:rsid w:val="001B73AB"/>
    <w:rsid w:val="001E085C"/>
    <w:rsid w:val="001F3C29"/>
    <w:rsid w:val="0020691D"/>
    <w:rsid w:val="00207A0E"/>
    <w:rsid w:val="0021437F"/>
    <w:rsid w:val="002331DE"/>
    <w:rsid w:val="00233EC4"/>
    <w:rsid w:val="00237AEF"/>
    <w:rsid w:val="00247F32"/>
    <w:rsid w:val="0025260F"/>
    <w:rsid w:val="00255860"/>
    <w:rsid w:val="00255948"/>
    <w:rsid w:val="002573FB"/>
    <w:rsid w:val="002844E1"/>
    <w:rsid w:val="0029171E"/>
    <w:rsid w:val="002A01CF"/>
    <w:rsid w:val="002B6F55"/>
    <w:rsid w:val="002C2974"/>
    <w:rsid w:val="002E06AF"/>
    <w:rsid w:val="002E5CEB"/>
    <w:rsid w:val="00306404"/>
    <w:rsid w:val="00313B07"/>
    <w:rsid w:val="00316E5F"/>
    <w:rsid w:val="00334A5D"/>
    <w:rsid w:val="00340160"/>
    <w:rsid w:val="0038192B"/>
    <w:rsid w:val="00385B10"/>
    <w:rsid w:val="0038637A"/>
    <w:rsid w:val="003A53AD"/>
    <w:rsid w:val="003D3800"/>
    <w:rsid w:val="003E034C"/>
    <w:rsid w:val="003F2F14"/>
    <w:rsid w:val="004343E7"/>
    <w:rsid w:val="004546FA"/>
    <w:rsid w:val="00462015"/>
    <w:rsid w:val="00467D35"/>
    <w:rsid w:val="004A05B1"/>
    <w:rsid w:val="004A3FE4"/>
    <w:rsid w:val="004C1F01"/>
    <w:rsid w:val="004D1D24"/>
    <w:rsid w:val="004F3FED"/>
    <w:rsid w:val="00502328"/>
    <w:rsid w:val="00504D20"/>
    <w:rsid w:val="005069B5"/>
    <w:rsid w:val="00525843"/>
    <w:rsid w:val="0058101A"/>
    <w:rsid w:val="00596531"/>
    <w:rsid w:val="005B3B2B"/>
    <w:rsid w:val="005F41BB"/>
    <w:rsid w:val="00616B2B"/>
    <w:rsid w:val="006179BB"/>
    <w:rsid w:val="00690430"/>
    <w:rsid w:val="006B2204"/>
    <w:rsid w:val="00710A75"/>
    <w:rsid w:val="00710C48"/>
    <w:rsid w:val="007124CE"/>
    <w:rsid w:val="0071357E"/>
    <w:rsid w:val="00731A9F"/>
    <w:rsid w:val="00747717"/>
    <w:rsid w:val="00766984"/>
    <w:rsid w:val="00784551"/>
    <w:rsid w:val="007936D9"/>
    <w:rsid w:val="00796AB4"/>
    <w:rsid w:val="007A2F3C"/>
    <w:rsid w:val="007B4505"/>
    <w:rsid w:val="007D7A48"/>
    <w:rsid w:val="007E01FC"/>
    <w:rsid w:val="008208E8"/>
    <w:rsid w:val="00831E3B"/>
    <w:rsid w:val="00832188"/>
    <w:rsid w:val="00832DBB"/>
    <w:rsid w:val="00875955"/>
    <w:rsid w:val="00876A00"/>
    <w:rsid w:val="00892D5C"/>
    <w:rsid w:val="008A6139"/>
    <w:rsid w:val="008C689A"/>
    <w:rsid w:val="008D1758"/>
    <w:rsid w:val="008E40D5"/>
    <w:rsid w:val="008F792D"/>
    <w:rsid w:val="00901AD0"/>
    <w:rsid w:val="009029B4"/>
    <w:rsid w:val="00915CAF"/>
    <w:rsid w:val="00917C86"/>
    <w:rsid w:val="009332C7"/>
    <w:rsid w:val="00955260"/>
    <w:rsid w:val="00991BC4"/>
    <w:rsid w:val="009A20A8"/>
    <w:rsid w:val="009D7A10"/>
    <w:rsid w:val="00A067AE"/>
    <w:rsid w:val="00A4089D"/>
    <w:rsid w:val="00A577B7"/>
    <w:rsid w:val="00A61E30"/>
    <w:rsid w:val="00A80696"/>
    <w:rsid w:val="00A80B47"/>
    <w:rsid w:val="00A95F00"/>
    <w:rsid w:val="00AF2A30"/>
    <w:rsid w:val="00B008FA"/>
    <w:rsid w:val="00B0663E"/>
    <w:rsid w:val="00B07E5D"/>
    <w:rsid w:val="00B12C27"/>
    <w:rsid w:val="00B432A0"/>
    <w:rsid w:val="00B43B6F"/>
    <w:rsid w:val="00B5015B"/>
    <w:rsid w:val="00B57D1B"/>
    <w:rsid w:val="00B82D10"/>
    <w:rsid w:val="00C0266B"/>
    <w:rsid w:val="00C07D48"/>
    <w:rsid w:val="00C14213"/>
    <w:rsid w:val="00C31E1E"/>
    <w:rsid w:val="00C532D5"/>
    <w:rsid w:val="00CA3CEC"/>
    <w:rsid w:val="00CB5E05"/>
    <w:rsid w:val="00CC6C99"/>
    <w:rsid w:val="00CD1652"/>
    <w:rsid w:val="00D059A5"/>
    <w:rsid w:val="00D33BC1"/>
    <w:rsid w:val="00D53616"/>
    <w:rsid w:val="00D56C9D"/>
    <w:rsid w:val="00D65FDF"/>
    <w:rsid w:val="00D85C7D"/>
    <w:rsid w:val="00DD6A41"/>
    <w:rsid w:val="00DF469A"/>
    <w:rsid w:val="00E01CAF"/>
    <w:rsid w:val="00E07D1A"/>
    <w:rsid w:val="00E14062"/>
    <w:rsid w:val="00E24049"/>
    <w:rsid w:val="00E26BBF"/>
    <w:rsid w:val="00E323D7"/>
    <w:rsid w:val="00E44476"/>
    <w:rsid w:val="00E61B22"/>
    <w:rsid w:val="00E61D13"/>
    <w:rsid w:val="00E6637E"/>
    <w:rsid w:val="00E7578E"/>
    <w:rsid w:val="00EA3A6F"/>
    <w:rsid w:val="00EA6478"/>
    <w:rsid w:val="00ED2E8C"/>
    <w:rsid w:val="00ED7617"/>
    <w:rsid w:val="00EE0783"/>
    <w:rsid w:val="00EE0B8A"/>
    <w:rsid w:val="00EF53DE"/>
    <w:rsid w:val="00F27E62"/>
    <w:rsid w:val="00F27F43"/>
    <w:rsid w:val="00F339D4"/>
    <w:rsid w:val="00F364FD"/>
    <w:rsid w:val="00F40FFB"/>
    <w:rsid w:val="00F46730"/>
    <w:rsid w:val="00F64204"/>
    <w:rsid w:val="00F66F2E"/>
    <w:rsid w:val="00F7306F"/>
    <w:rsid w:val="00F732A7"/>
    <w:rsid w:val="00F73B33"/>
    <w:rsid w:val="00F76999"/>
    <w:rsid w:val="00F94E7A"/>
    <w:rsid w:val="00FA1F4A"/>
    <w:rsid w:val="00FC0B90"/>
    <w:rsid w:val="00FD197B"/>
    <w:rsid w:val="00FF23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7C86"/>
    <w:rPr>
      <w:rFonts w:ascii="Garamond" w:hAnsi="Garamond"/>
      <w:color w:val="000000"/>
      <w:sz w:val="24"/>
      <w:szCs w:val="24"/>
    </w:rPr>
  </w:style>
  <w:style w:type="paragraph" w:styleId="Heading1">
    <w:name w:val="heading 1"/>
    <w:basedOn w:val="Normal"/>
    <w:next w:val="Normal"/>
    <w:qFormat/>
    <w:rsid w:val="00917C86"/>
    <w:pPr>
      <w:keepNext/>
      <w:spacing w:before="240" w:after="60"/>
      <w:outlineLvl w:val="0"/>
    </w:pPr>
    <w:rPr>
      <w:rFonts w:ascii="Verdana" w:hAnsi="Verdana" w:cs="Arial"/>
      <w:b/>
      <w:bCs/>
      <w:kern w:val="32"/>
      <w:sz w:val="32"/>
      <w:szCs w:val="32"/>
    </w:rPr>
  </w:style>
  <w:style w:type="paragraph" w:styleId="Heading2">
    <w:name w:val="heading 2"/>
    <w:basedOn w:val="Normal"/>
    <w:next w:val="Normal"/>
    <w:qFormat/>
    <w:rsid w:val="00917C86"/>
    <w:pPr>
      <w:keepNext/>
      <w:spacing w:before="240" w:after="60"/>
      <w:outlineLvl w:val="1"/>
    </w:pPr>
    <w:rPr>
      <w:rFonts w:ascii="Verdana" w:hAnsi="Verdana" w:cs="Arial"/>
      <w:sz w:val="28"/>
      <w:szCs w:val="28"/>
    </w:rPr>
  </w:style>
  <w:style w:type="paragraph" w:styleId="Heading3">
    <w:name w:val="heading 3"/>
    <w:basedOn w:val="Normal"/>
    <w:next w:val="Normal"/>
    <w:qFormat/>
    <w:rsid w:val="00917C86"/>
    <w:pPr>
      <w:keepNext/>
      <w:spacing w:before="240" w:after="60"/>
      <w:outlineLvl w:val="2"/>
    </w:pPr>
    <w:rPr>
      <w:rFonts w:ascii="Verdana" w:hAnsi="Verdana" w:cs="Arial"/>
      <w:sz w:val="26"/>
      <w:szCs w:val="26"/>
    </w:rPr>
  </w:style>
  <w:style w:type="paragraph" w:styleId="Heading4">
    <w:name w:val="heading 4"/>
    <w:basedOn w:val="Normal"/>
    <w:next w:val="Normal"/>
    <w:qFormat/>
    <w:rsid w:val="00917C86"/>
    <w:pPr>
      <w:keepNext/>
      <w:spacing w:before="240" w:after="60"/>
      <w:outlineLvl w:val="3"/>
    </w:pPr>
    <w:rPr>
      <w:rFonts w:ascii="Verdana" w:hAnsi="Verdana"/>
      <w:sz w:val="28"/>
      <w:szCs w:val="28"/>
    </w:rPr>
  </w:style>
  <w:style w:type="paragraph" w:styleId="Heading5">
    <w:name w:val="heading 5"/>
    <w:basedOn w:val="Normal"/>
    <w:next w:val="Normal"/>
    <w:qFormat/>
    <w:rsid w:val="00917C86"/>
    <w:pPr>
      <w:spacing w:before="240" w:after="60"/>
      <w:outlineLvl w:val="4"/>
    </w:pPr>
    <w:rPr>
      <w:rFonts w:ascii="Verdana" w:hAnsi="Verdana"/>
      <w:sz w:val="26"/>
      <w:szCs w:val="26"/>
    </w:rPr>
  </w:style>
  <w:style w:type="paragraph" w:styleId="Heading6">
    <w:name w:val="heading 6"/>
    <w:basedOn w:val="Normal"/>
    <w:next w:val="Normal"/>
    <w:qFormat/>
    <w:rsid w:val="00917C86"/>
    <w:pPr>
      <w:spacing w:before="240" w:after="60"/>
      <w:outlineLvl w:val="5"/>
    </w:pPr>
    <w:rPr>
      <w:rFonts w:ascii="Verdana" w:hAnsi="Verdana"/>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Theme">
    <w:name w:val="Table Theme"/>
    <w:basedOn w:val="TableNormal"/>
    <w:rsid w:val="00917C86"/>
    <w:tblPr>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style>
  <w:style w:type="character" w:styleId="Hyperlink">
    <w:name w:val="Hyperlink"/>
    <w:basedOn w:val="DefaultParagraphFont"/>
    <w:rsid w:val="00917C86"/>
    <w:rPr>
      <w:color w:val="339999"/>
      <w:u w:val="single"/>
    </w:rPr>
  </w:style>
  <w:style w:type="character" w:styleId="FollowedHyperlink">
    <w:name w:val="FollowedHyperlink"/>
    <w:basedOn w:val="DefaultParagraphFont"/>
    <w:rsid w:val="00917C86"/>
    <w:rPr>
      <w:color w:val="999999"/>
      <w:u w:val="single"/>
    </w:rPr>
  </w:style>
  <w:style w:type="paragraph" w:styleId="Header">
    <w:name w:val="header"/>
    <w:basedOn w:val="Normal"/>
    <w:rsid w:val="00FD197B"/>
    <w:pPr>
      <w:tabs>
        <w:tab w:val="center" w:pos="4320"/>
        <w:tab w:val="right" w:pos="8640"/>
      </w:tabs>
    </w:pPr>
  </w:style>
  <w:style w:type="paragraph" w:styleId="Footer">
    <w:name w:val="footer"/>
    <w:basedOn w:val="Normal"/>
    <w:rsid w:val="00FD197B"/>
    <w:pPr>
      <w:tabs>
        <w:tab w:val="center" w:pos="4320"/>
        <w:tab w:val="right" w:pos="8640"/>
      </w:tabs>
    </w:pPr>
  </w:style>
  <w:style w:type="paragraph" w:styleId="BalloonText">
    <w:name w:val="Balloon Text"/>
    <w:basedOn w:val="Normal"/>
    <w:semiHidden/>
    <w:rsid w:val="004A05B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494</Words>
  <Characters>2818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APPLICATION ENGINEERING</vt:lpstr>
    </vt:vector>
  </TitlesOfParts>
  <Company>York International UPG</Company>
  <LinksUpToDate>false</LinksUpToDate>
  <CharactersWithSpaces>3306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ENGINEERING</dc:title>
  <dc:subject/>
  <dc:creator>crussor</dc:creator>
  <cp:keywords/>
  <dc:description/>
  <cp:lastModifiedBy>cporteb</cp:lastModifiedBy>
  <cp:revision>2</cp:revision>
  <cp:lastPrinted>2005-10-12T22:23:00Z</cp:lastPrinted>
  <dcterms:created xsi:type="dcterms:W3CDTF">2012-03-02T14:25:00Z</dcterms:created>
  <dcterms:modified xsi:type="dcterms:W3CDTF">2012-03-02T14:25:00Z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Eclipse 011</vt:lpwstr>
  </property>
</Properties>
</file>