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eclbkgnd" type="frame"/>
    </v:background>
  </w:background>
  <w:body>
    <w:p w:rsidR="0021437F" w:rsidRDefault="00066CDA" w:rsidP="00917C86">
      <w:pPr>
        <w:jc w:val="center"/>
        <w:rPr>
          <w:b/>
          <w:sz w:val="32"/>
          <w:szCs w:val="32"/>
        </w:rPr>
      </w:pPr>
      <w:r>
        <w:rPr>
          <w:b/>
          <w:noProof/>
          <w:sz w:val="32"/>
          <w:szCs w:val="32"/>
        </w:rPr>
        <w:drawing>
          <wp:inline distT="0" distB="0" distL="0" distR="0">
            <wp:extent cx="3829050" cy="771525"/>
            <wp:effectExtent l="19050" t="0" r="0" b="0"/>
            <wp:docPr id="1" name="Picture 2" descr="UPG Tech Serv 3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G Tech Serv 3D-2-GIF"/>
                    <pic:cNvPicPr>
                      <a:picLocks noChangeAspect="1" noChangeArrowheads="1"/>
                    </pic:cNvPicPr>
                  </pic:nvPicPr>
                  <pic:blipFill>
                    <a:blip r:embed="rId9"/>
                    <a:srcRect/>
                    <a:stretch>
                      <a:fillRect/>
                    </a:stretch>
                  </pic:blipFill>
                  <pic:spPr bwMode="auto">
                    <a:xfrm>
                      <a:off x="0" y="0"/>
                      <a:ext cx="3829050" cy="771525"/>
                    </a:xfrm>
                    <a:prstGeom prst="rect">
                      <a:avLst/>
                    </a:prstGeom>
                    <a:noFill/>
                  </pic:spPr>
                </pic:pic>
              </a:graphicData>
            </a:graphic>
          </wp:inline>
        </w:drawing>
      </w:r>
    </w:p>
    <w:p w:rsidR="0021437F" w:rsidRDefault="0021437F" w:rsidP="00917C86">
      <w:pPr>
        <w:jc w:val="center"/>
        <w:rPr>
          <w:b/>
          <w:sz w:val="32"/>
          <w:szCs w:val="32"/>
        </w:rPr>
      </w:pPr>
    </w:p>
    <w:p w:rsidR="00FD197B" w:rsidRDefault="00FD197B" w:rsidP="00917C86">
      <w:pPr>
        <w:jc w:val="center"/>
        <w:rPr>
          <w:b/>
          <w:sz w:val="36"/>
          <w:szCs w:val="36"/>
        </w:rPr>
      </w:pPr>
    </w:p>
    <w:p w:rsidR="00E323D7" w:rsidRPr="00FD197B" w:rsidRDefault="00917C86" w:rsidP="00917C86">
      <w:pPr>
        <w:jc w:val="center"/>
        <w:rPr>
          <w:b/>
          <w:sz w:val="36"/>
          <w:szCs w:val="36"/>
        </w:rPr>
      </w:pPr>
      <w:r w:rsidRPr="00FD197B">
        <w:rPr>
          <w:b/>
          <w:sz w:val="36"/>
          <w:szCs w:val="36"/>
        </w:rPr>
        <w:t>APPLICATION ENGINEERING</w:t>
      </w:r>
    </w:p>
    <w:p w:rsidR="00917C86" w:rsidRDefault="002844E1" w:rsidP="00917C86">
      <w:pPr>
        <w:jc w:val="center"/>
        <w:rPr>
          <w:b/>
          <w:sz w:val="36"/>
          <w:szCs w:val="36"/>
        </w:rPr>
      </w:pPr>
      <w:r w:rsidRPr="00FD197B">
        <w:rPr>
          <w:b/>
          <w:sz w:val="36"/>
          <w:szCs w:val="36"/>
        </w:rPr>
        <w:t>BULLETIN Number #</w:t>
      </w:r>
      <w:r w:rsidR="003058AE">
        <w:rPr>
          <w:b/>
          <w:sz w:val="36"/>
          <w:szCs w:val="36"/>
        </w:rPr>
        <w:t xml:space="preserve"> AE-014-09</w:t>
      </w:r>
    </w:p>
    <w:p w:rsidR="00FD197B" w:rsidRPr="00FD197B" w:rsidRDefault="00FD197B" w:rsidP="00917C86">
      <w:pPr>
        <w:jc w:val="center"/>
        <w:rPr>
          <w:b/>
          <w:sz w:val="36"/>
          <w:szCs w:val="36"/>
        </w:rPr>
      </w:pPr>
    </w:p>
    <w:p w:rsidR="002844E1" w:rsidRPr="00917C86" w:rsidRDefault="00B53AC0" w:rsidP="00917C86">
      <w:pPr>
        <w:jc w:val="center"/>
        <w:rPr>
          <w:b/>
          <w:sz w:val="32"/>
          <w:szCs w:val="32"/>
        </w:rPr>
      </w:pPr>
      <w:r w:rsidRPr="00B53AC0">
        <w:rPr>
          <w:noProof/>
          <w:sz w:val="28"/>
          <w:szCs w:val="28"/>
        </w:rPr>
        <w:pict>
          <v:line id="_x0000_s1031" style="position:absolute;left:0;text-align:left;z-index:251657216" from="18pt,11.25pt" to="441pt,11.25pt" strokeweight="6pt">
            <v:stroke linestyle="thickBetweenThin"/>
          </v:line>
        </w:pict>
      </w:r>
    </w:p>
    <w:p w:rsidR="00917C86" w:rsidRDefault="00917C86" w:rsidP="00917C86">
      <w:pPr>
        <w:jc w:val="center"/>
      </w:pPr>
    </w:p>
    <w:p w:rsidR="00917C86" w:rsidRDefault="00917C86" w:rsidP="00917C86">
      <w:pPr>
        <w:jc w:val="center"/>
      </w:pPr>
    </w:p>
    <w:p w:rsidR="00915CAF" w:rsidRDefault="002844E1" w:rsidP="00915CAF">
      <w:pPr>
        <w:numPr>
          <w:ilvl w:val="0"/>
          <w:numId w:val="1"/>
        </w:numPr>
        <w:jc w:val="both"/>
        <w:rPr>
          <w:sz w:val="28"/>
          <w:szCs w:val="28"/>
        </w:rPr>
      </w:pPr>
      <w:r w:rsidRPr="00915CAF">
        <w:rPr>
          <w:sz w:val="28"/>
          <w:szCs w:val="28"/>
        </w:rPr>
        <w:t>TOPIC</w:t>
      </w:r>
      <w:r w:rsidR="00915CAF" w:rsidRPr="00915CAF">
        <w:rPr>
          <w:sz w:val="28"/>
          <w:szCs w:val="28"/>
        </w:rPr>
        <w:t>:</w:t>
      </w:r>
      <w:r w:rsidR="008B4BF1">
        <w:rPr>
          <w:sz w:val="28"/>
          <w:szCs w:val="28"/>
        </w:rPr>
        <w:t xml:space="preserve"> Integration of ERV with Millenium product</w:t>
      </w:r>
    </w:p>
    <w:p w:rsidR="00247F32" w:rsidRDefault="00247F32" w:rsidP="00247F32">
      <w:pPr>
        <w:jc w:val="both"/>
        <w:rPr>
          <w:sz w:val="28"/>
          <w:szCs w:val="28"/>
        </w:rPr>
      </w:pPr>
    </w:p>
    <w:p w:rsidR="00247F32" w:rsidRPr="00915CAF" w:rsidRDefault="00247F32" w:rsidP="00247F32">
      <w:pPr>
        <w:jc w:val="both"/>
        <w:rPr>
          <w:sz w:val="28"/>
          <w:szCs w:val="28"/>
        </w:rPr>
      </w:pPr>
    </w:p>
    <w:p w:rsidR="002844E1" w:rsidRDefault="002844E1" w:rsidP="002844E1">
      <w:pPr>
        <w:numPr>
          <w:ilvl w:val="0"/>
          <w:numId w:val="1"/>
        </w:numPr>
        <w:jc w:val="both"/>
        <w:rPr>
          <w:sz w:val="28"/>
          <w:szCs w:val="28"/>
        </w:rPr>
      </w:pPr>
      <w:r w:rsidRPr="00915CAF">
        <w:rPr>
          <w:sz w:val="28"/>
          <w:szCs w:val="28"/>
        </w:rPr>
        <w:t>SCOPE &amp; PURPOSE</w:t>
      </w:r>
      <w:r w:rsidR="00915CAF" w:rsidRPr="00915CAF">
        <w:rPr>
          <w:sz w:val="28"/>
          <w:szCs w:val="28"/>
        </w:rPr>
        <w:t>:</w:t>
      </w:r>
      <w:r w:rsidR="008B4BF1">
        <w:rPr>
          <w:sz w:val="28"/>
          <w:szCs w:val="28"/>
        </w:rPr>
        <w:t xml:space="preserve"> To explain the electrical hook up between the RSI ERV and the Millenium package product</w:t>
      </w:r>
    </w:p>
    <w:p w:rsidR="00247F32" w:rsidRDefault="00247F32" w:rsidP="00247F32">
      <w:pPr>
        <w:jc w:val="both"/>
      </w:pPr>
    </w:p>
    <w:p w:rsidR="008B4BF1" w:rsidRPr="00C532D5" w:rsidRDefault="008B4BF1" w:rsidP="00247F32">
      <w:pPr>
        <w:jc w:val="both"/>
      </w:pPr>
    </w:p>
    <w:p w:rsidR="00247F32" w:rsidRPr="00915CAF" w:rsidRDefault="00247F32" w:rsidP="00247F32">
      <w:pPr>
        <w:jc w:val="both"/>
        <w:rPr>
          <w:sz w:val="28"/>
          <w:szCs w:val="28"/>
        </w:rPr>
      </w:pPr>
    </w:p>
    <w:p w:rsidR="00FD197B" w:rsidRDefault="00FD197B" w:rsidP="002844E1">
      <w:pPr>
        <w:numPr>
          <w:ilvl w:val="0"/>
          <w:numId w:val="1"/>
        </w:numPr>
        <w:jc w:val="both"/>
        <w:rPr>
          <w:sz w:val="28"/>
          <w:szCs w:val="28"/>
        </w:rPr>
      </w:pPr>
      <w:r w:rsidRPr="00915CAF">
        <w:rPr>
          <w:sz w:val="28"/>
          <w:szCs w:val="28"/>
        </w:rPr>
        <w:t>CONTENT</w:t>
      </w:r>
      <w:r w:rsidR="00915CAF" w:rsidRPr="00915CAF">
        <w:rPr>
          <w:sz w:val="28"/>
          <w:szCs w:val="28"/>
        </w:rPr>
        <w:t>:</w:t>
      </w:r>
      <w:r w:rsidR="008B4BF1">
        <w:rPr>
          <w:sz w:val="28"/>
          <w:szCs w:val="28"/>
        </w:rPr>
        <w:t xml:space="preserve"> Wiring diagram showing the RSI hook up and the Millenium</w:t>
      </w:r>
      <w:r w:rsidR="003058AE">
        <w:rPr>
          <w:sz w:val="28"/>
          <w:szCs w:val="28"/>
        </w:rPr>
        <w:t xml:space="preserve"> along with the isolation of the different 24 volt power supplies in the two different units. Explanation of the operation of start stop jog features in the ERV as well as the operation of the ERV itself.</w:t>
      </w:r>
    </w:p>
    <w:p w:rsidR="008B4BF1" w:rsidRDefault="008B4BF1" w:rsidP="008B4BF1">
      <w:pPr>
        <w:ind w:left="360"/>
        <w:jc w:val="both"/>
        <w:rPr>
          <w:sz w:val="28"/>
          <w:szCs w:val="28"/>
        </w:rPr>
      </w:pPr>
    </w:p>
    <w:p w:rsidR="008B4BF1" w:rsidRDefault="00066CDA" w:rsidP="008B4BF1">
      <w:pPr>
        <w:ind w:left="360"/>
        <w:jc w:val="both"/>
        <w:rPr>
          <w:sz w:val="28"/>
          <w:szCs w:val="28"/>
        </w:rPr>
      </w:pPr>
      <w:r>
        <w:rPr>
          <w:noProof/>
          <w:sz w:val="28"/>
          <w:szCs w:val="28"/>
        </w:rPr>
        <w:lastRenderedPageBreak/>
        <w:drawing>
          <wp:inline distT="0" distB="0" distL="0" distR="0">
            <wp:extent cx="5476875" cy="73628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476875" cy="7362825"/>
                    </a:xfrm>
                    <a:prstGeom prst="rect">
                      <a:avLst/>
                    </a:prstGeom>
                    <a:noFill/>
                    <a:ln w="9525">
                      <a:noFill/>
                      <a:miter lim="800000"/>
                      <a:headEnd/>
                      <a:tailEnd/>
                    </a:ln>
                  </pic:spPr>
                </pic:pic>
              </a:graphicData>
            </a:graphic>
          </wp:inline>
        </w:drawing>
      </w:r>
    </w:p>
    <w:p w:rsidR="004F3FED" w:rsidRPr="00915CAF" w:rsidRDefault="004F3FED" w:rsidP="004F3FED">
      <w:pPr>
        <w:jc w:val="both"/>
        <w:rPr>
          <w:sz w:val="28"/>
          <w:szCs w:val="28"/>
        </w:rPr>
      </w:pPr>
    </w:p>
    <w:p w:rsidR="004F3FED" w:rsidRDefault="004F3FED" w:rsidP="004F3FED">
      <w:pPr>
        <w:jc w:val="both"/>
        <w:rPr>
          <w:sz w:val="28"/>
          <w:szCs w:val="28"/>
        </w:rPr>
      </w:pPr>
    </w:p>
    <w:p w:rsidR="004F3FED" w:rsidRDefault="004F3FED" w:rsidP="004F3FED">
      <w:pPr>
        <w:jc w:val="both"/>
        <w:rPr>
          <w:sz w:val="28"/>
          <w:szCs w:val="28"/>
        </w:rPr>
      </w:pPr>
    </w:p>
    <w:p w:rsidR="004C7655" w:rsidRDefault="004C7655" w:rsidP="004F3FED">
      <w:pPr>
        <w:jc w:val="both"/>
        <w:rPr>
          <w:sz w:val="28"/>
          <w:szCs w:val="28"/>
        </w:rPr>
      </w:pPr>
      <w:r>
        <w:rPr>
          <w:sz w:val="28"/>
          <w:szCs w:val="28"/>
        </w:rPr>
        <w:lastRenderedPageBreak/>
        <w:t xml:space="preserve">      The diagram above shows the input voltage for the ERV terminating the 24v electrical connection at terminals 1 and 2. This is a parallel connection to the indoor blower contactor within the Millenium unit. In the exhaust section of the unit you will see a terminal strip labeled 24 volt and you will see a chassis ground strip as well. From these points you will wire through the contacts of a clear blue peanut relay located in the exhaust section. This relay is pre wired to operate in congress with the indoor blower contactor within the Millenium unit. In this way when the indoor blower starts the ERV will receive a signal to operate</w:t>
      </w:r>
      <w:r w:rsidR="003058AE">
        <w:rPr>
          <w:sz w:val="28"/>
          <w:szCs w:val="28"/>
        </w:rPr>
        <w:t>. (It should operate anytime the indoor blower is running)</w:t>
      </w:r>
      <w:r>
        <w:rPr>
          <w:sz w:val="28"/>
          <w:szCs w:val="28"/>
        </w:rPr>
        <w:t xml:space="preserve"> High voltage is wired separately from a single point hook up.</w:t>
      </w:r>
      <w:r w:rsidR="00066CDA">
        <w:rPr>
          <w:sz w:val="28"/>
          <w:szCs w:val="28"/>
        </w:rPr>
        <w:t xml:space="preserve"> The Molex plug that used to be provided is not applicable to the hookup of the ERV. It utilizes the integration of low control voltage along with the higher running voltage within the same plug this can become highly problematic.</w:t>
      </w:r>
    </w:p>
    <w:p w:rsidR="004C7655" w:rsidRDefault="004C7655" w:rsidP="004F3FED">
      <w:pPr>
        <w:jc w:val="both"/>
        <w:rPr>
          <w:sz w:val="28"/>
          <w:szCs w:val="28"/>
        </w:rPr>
      </w:pPr>
    </w:p>
    <w:p w:rsidR="004C7655" w:rsidRDefault="004C7655" w:rsidP="004F3FED">
      <w:pPr>
        <w:jc w:val="both"/>
        <w:rPr>
          <w:sz w:val="28"/>
          <w:szCs w:val="28"/>
        </w:rPr>
      </w:pPr>
      <w:r>
        <w:rPr>
          <w:sz w:val="28"/>
          <w:szCs w:val="28"/>
        </w:rPr>
        <w:tab/>
        <w:t>The other concern from the field is the start stop jog feature. This feature is initiated when the low ambient switch (optional).</w:t>
      </w:r>
      <w:r w:rsidR="003058AE">
        <w:rPr>
          <w:sz w:val="28"/>
          <w:szCs w:val="28"/>
        </w:rPr>
        <w:t xml:space="preserve"> When the low ambient switch closes it causes the board to rotate the media wheel in intervals to prevent the buildup of frost on the media wheel.</w:t>
      </w:r>
    </w:p>
    <w:p w:rsidR="00066CDA" w:rsidRDefault="00066CDA" w:rsidP="004F3FED">
      <w:pPr>
        <w:jc w:val="both"/>
        <w:rPr>
          <w:sz w:val="28"/>
          <w:szCs w:val="28"/>
        </w:rPr>
      </w:pPr>
    </w:p>
    <w:p w:rsidR="00066CDA" w:rsidRDefault="00066CDA" w:rsidP="004F3FED">
      <w:pPr>
        <w:jc w:val="both"/>
        <w:rPr>
          <w:sz w:val="28"/>
          <w:szCs w:val="28"/>
        </w:rPr>
      </w:pPr>
    </w:p>
    <w:p w:rsidR="00066CDA" w:rsidRDefault="00066CDA" w:rsidP="004F3FED">
      <w:pPr>
        <w:jc w:val="both"/>
        <w:rPr>
          <w:sz w:val="28"/>
          <w:szCs w:val="28"/>
        </w:rPr>
      </w:pPr>
    </w:p>
    <w:p w:rsidR="00066CDA" w:rsidRDefault="00066CDA" w:rsidP="004F3FED">
      <w:pPr>
        <w:jc w:val="both"/>
        <w:rPr>
          <w:sz w:val="28"/>
          <w:szCs w:val="28"/>
        </w:rPr>
      </w:pPr>
      <w:r>
        <w:rPr>
          <w:sz w:val="28"/>
          <w:szCs w:val="28"/>
        </w:rPr>
        <w:t>Author: Bruce Porter</w:t>
      </w:r>
    </w:p>
    <w:p w:rsidR="00066CDA" w:rsidRDefault="00066CDA" w:rsidP="004F3FED">
      <w:pPr>
        <w:jc w:val="both"/>
        <w:rPr>
          <w:sz w:val="28"/>
          <w:szCs w:val="28"/>
        </w:rPr>
      </w:pPr>
      <w:r>
        <w:rPr>
          <w:sz w:val="28"/>
          <w:szCs w:val="28"/>
        </w:rPr>
        <w:t xml:space="preserve">             Senior Application Engineer</w:t>
      </w:r>
    </w:p>
    <w:p w:rsidR="00066CDA" w:rsidRDefault="005E7B1F" w:rsidP="004F3FED">
      <w:pPr>
        <w:jc w:val="both"/>
        <w:rPr>
          <w:sz w:val="28"/>
          <w:szCs w:val="28"/>
        </w:rPr>
      </w:pPr>
      <w:r>
        <w:rPr>
          <w:sz w:val="28"/>
          <w:szCs w:val="28"/>
        </w:rPr>
        <w:t xml:space="preserve">             405-419-6610</w:t>
      </w:r>
    </w:p>
    <w:p w:rsidR="00066CDA" w:rsidRDefault="00066CDA" w:rsidP="004F3FED">
      <w:pPr>
        <w:jc w:val="both"/>
        <w:rPr>
          <w:sz w:val="28"/>
          <w:szCs w:val="28"/>
        </w:rPr>
      </w:pPr>
      <w:r>
        <w:rPr>
          <w:sz w:val="28"/>
          <w:szCs w:val="28"/>
        </w:rPr>
        <w:t xml:space="preserve">             09/13/2009</w:t>
      </w:r>
    </w:p>
    <w:p w:rsidR="00066CDA" w:rsidRDefault="00066CDA" w:rsidP="004F3FED">
      <w:pPr>
        <w:jc w:val="both"/>
        <w:rPr>
          <w:sz w:val="28"/>
          <w:szCs w:val="28"/>
        </w:rPr>
      </w:pPr>
    </w:p>
    <w:p w:rsidR="00066CDA" w:rsidRDefault="00066CDA" w:rsidP="004F3FED">
      <w:pPr>
        <w:jc w:val="both"/>
        <w:rPr>
          <w:sz w:val="28"/>
          <w:szCs w:val="28"/>
        </w:rPr>
      </w:pPr>
      <w:r>
        <w:rPr>
          <w:sz w:val="28"/>
          <w:szCs w:val="28"/>
        </w:rPr>
        <w:t xml:space="preserve">         </w:t>
      </w:r>
    </w:p>
    <w:sectPr w:rsidR="00066CDA" w:rsidSect="00B53AC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9F5" w:rsidRDefault="00C449F5">
      <w:r>
        <w:separator/>
      </w:r>
    </w:p>
  </w:endnote>
  <w:endnote w:type="continuationSeparator" w:id="0">
    <w:p w:rsidR="00C449F5" w:rsidRDefault="00C449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97B" w:rsidRDefault="00FD197B" w:rsidP="00FD197B">
    <w:pPr>
      <w:pStyle w:val="Footer"/>
      <w:jc w:val="center"/>
    </w:pPr>
    <w:smartTag w:uri="urn:schemas-microsoft-com:office:smarttags" w:element="City">
      <w:smartTag w:uri="urn:schemas-microsoft-com:office:smarttags" w:element="place">
        <w:r>
          <w:t>York</w:t>
        </w:r>
      </w:smartTag>
    </w:smartTag>
    <w:r>
      <w:t xml:space="preserve"> International UPG</w:t>
    </w:r>
  </w:p>
  <w:p w:rsidR="00FD197B" w:rsidRDefault="00FD197B" w:rsidP="00FD197B">
    <w:pPr>
      <w:pStyle w:val="Footer"/>
      <w:jc w:val="center"/>
    </w:pPr>
    <w:r>
      <w:t>Technical Services</w:t>
    </w:r>
  </w:p>
  <w:p w:rsidR="00FD197B" w:rsidRDefault="00FD197B" w:rsidP="00FD197B">
    <w:pPr>
      <w:pStyle w:val="Footer"/>
      <w:jc w:val="center"/>
    </w:pPr>
    <w:smartTag w:uri="urn:schemas-microsoft-com:office:smarttags" w:element="Street">
      <w:smartTag w:uri="urn:schemas-microsoft-com:office:smarttags" w:element="address">
        <w:r>
          <w:t>5005 York Drive</w:t>
        </w:r>
      </w:smartTag>
    </w:smartTag>
  </w:p>
  <w:p w:rsidR="00FD197B" w:rsidRDefault="00FD197B" w:rsidP="00FD197B">
    <w:pPr>
      <w:pStyle w:val="Footer"/>
      <w:jc w:val="center"/>
    </w:pPr>
    <w:smartTag w:uri="urn:schemas-microsoft-com:office:smarttags" w:element="place">
      <w:smartTag w:uri="urn:schemas-microsoft-com:office:smarttags" w:element="City">
        <w:r>
          <w:t>Norman</w:t>
        </w:r>
      </w:smartTag>
      <w:r>
        <w:t xml:space="preserve">, </w:t>
      </w:r>
      <w:smartTag w:uri="urn:schemas-microsoft-com:office:smarttags" w:element="State">
        <w:r>
          <w:t>OK</w:t>
        </w:r>
      </w:smartTag>
      <w:r>
        <w:t xml:space="preserve"> </w:t>
      </w:r>
      <w:smartTag w:uri="urn:schemas-microsoft-com:office:smarttags" w:element="PostalCode">
        <w:r>
          <w:t>73069</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9F5" w:rsidRDefault="00C449F5">
      <w:r>
        <w:separator/>
      </w:r>
    </w:p>
  </w:footnote>
  <w:footnote w:type="continuationSeparator" w:id="0">
    <w:p w:rsidR="00C449F5" w:rsidRDefault="00C449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ullet1"/>
      </v:shape>
    </w:pict>
  </w:numPicBullet>
  <w:numPicBullet w:numPicBulletId="1">
    <w:pict>
      <v:shape id="_x0000_i1030" type="#_x0000_t75" style="width:9pt;height:9pt" o:bullet="t">
        <v:imagedata r:id="rId2" o:title="bullet2"/>
      </v:shape>
    </w:pict>
  </w:numPicBullet>
  <w:numPicBullet w:numPicBulletId="2">
    <w:pict>
      <v:shape id="_x0000_i1031" type="#_x0000_t75" style="width:9pt;height:9pt" o:bullet="t">
        <v:imagedata r:id="rId3" o:title="bullet3"/>
      </v:shape>
    </w:pict>
  </w:numPicBullet>
  <w:abstractNum w:abstractNumId="0">
    <w:nsid w:val="77066033"/>
    <w:multiLevelType w:val="multilevel"/>
    <w:tmpl w:val="50648B5C"/>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efaultTableStyle w:val="TableTheme"/>
  <w:characterSpacingControl w:val="doNotCompress"/>
  <w:footnotePr>
    <w:footnote w:id="-1"/>
    <w:footnote w:id="0"/>
  </w:footnotePr>
  <w:endnotePr>
    <w:endnote w:id="-1"/>
    <w:endnote w:id="0"/>
  </w:endnotePr>
  <w:compat/>
  <w:rsids>
    <w:rsidRoot w:val="00917C86"/>
    <w:rsid w:val="00013086"/>
    <w:rsid w:val="000139A4"/>
    <w:rsid w:val="0001743E"/>
    <w:rsid w:val="00031737"/>
    <w:rsid w:val="00032615"/>
    <w:rsid w:val="00066CDA"/>
    <w:rsid w:val="000718C7"/>
    <w:rsid w:val="000731D5"/>
    <w:rsid w:val="00087C3F"/>
    <w:rsid w:val="000D254D"/>
    <w:rsid w:val="000D6FF1"/>
    <w:rsid w:val="0010377C"/>
    <w:rsid w:val="00185360"/>
    <w:rsid w:val="00191FD2"/>
    <w:rsid w:val="001B73AB"/>
    <w:rsid w:val="001E085C"/>
    <w:rsid w:val="001F3C29"/>
    <w:rsid w:val="0020691D"/>
    <w:rsid w:val="0021437F"/>
    <w:rsid w:val="002331DE"/>
    <w:rsid w:val="00233EC4"/>
    <w:rsid w:val="00237AEF"/>
    <w:rsid w:val="00247F32"/>
    <w:rsid w:val="0025260F"/>
    <w:rsid w:val="00255948"/>
    <w:rsid w:val="002573FB"/>
    <w:rsid w:val="002844E1"/>
    <w:rsid w:val="0029171E"/>
    <w:rsid w:val="002A01CF"/>
    <w:rsid w:val="002B6F55"/>
    <w:rsid w:val="002C2974"/>
    <w:rsid w:val="002E06AF"/>
    <w:rsid w:val="002E5CEB"/>
    <w:rsid w:val="003058AE"/>
    <w:rsid w:val="00306404"/>
    <w:rsid w:val="00313B07"/>
    <w:rsid w:val="00316E5F"/>
    <w:rsid w:val="00334A5D"/>
    <w:rsid w:val="00340160"/>
    <w:rsid w:val="0038192B"/>
    <w:rsid w:val="00385B10"/>
    <w:rsid w:val="0038637A"/>
    <w:rsid w:val="003A53AD"/>
    <w:rsid w:val="003D3800"/>
    <w:rsid w:val="003E034C"/>
    <w:rsid w:val="003F2F14"/>
    <w:rsid w:val="004343E7"/>
    <w:rsid w:val="004546FA"/>
    <w:rsid w:val="00462015"/>
    <w:rsid w:val="004A05B1"/>
    <w:rsid w:val="004A3FE4"/>
    <w:rsid w:val="004C1F01"/>
    <w:rsid w:val="004C7655"/>
    <w:rsid w:val="004D1D24"/>
    <w:rsid w:val="004F3FED"/>
    <w:rsid w:val="00502328"/>
    <w:rsid w:val="00504D20"/>
    <w:rsid w:val="005069B5"/>
    <w:rsid w:val="00525843"/>
    <w:rsid w:val="0058101A"/>
    <w:rsid w:val="00596531"/>
    <w:rsid w:val="005E7B1F"/>
    <w:rsid w:val="00616B2B"/>
    <w:rsid w:val="006179BB"/>
    <w:rsid w:val="00690430"/>
    <w:rsid w:val="006B2204"/>
    <w:rsid w:val="00710A75"/>
    <w:rsid w:val="00710C48"/>
    <w:rsid w:val="0071357E"/>
    <w:rsid w:val="00724A3B"/>
    <w:rsid w:val="00731A9F"/>
    <w:rsid w:val="00747717"/>
    <w:rsid w:val="00766984"/>
    <w:rsid w:val="00784551"/>
    <w:rsid w:val="007936D9"/>
    <w:rsid w:val="00796AB4"/>
    <w:rsid w:val="007A2F3C"/>
    <w:rsid w:val="007B4505"/>
    <w:rsid w:val="007D7A48"/>
    <w:rsid w:val="007E01FC"/>
    <w:rsid w:val="00831E3B"/>
    <w:rsid w:val="00832188"/>
    <w:rsid w:val="00832DBB"/>
    <w:rsid w:val="00875955"/>
    <w:rsid w:val="00876A00"/>
    <w:rsid w:val="00892D5C"/>
    <w:rsid w:val="008A6139"/>
    <w:rsid w:val="008B4BF1"/>
    <w:rsid w:val="008C689A"/>
    <w:rsid w:val="008D1758"/>
    <w:rsid w:val="008E40D5"/>
    <w:rsid w:val="008F792D"/>
    <w:rsid w:val="00901AD0"/>
    <w:rsid w:val="009029B4"/>
    <w:rsid w:val="00915CAF"/>
    <w:rsid w:val="00917C86"/>
    <w:rsid w:val="00955260"/>
    <w:rsid w:val="00991BC4"/>
    <w:rsid w:val="009A20A8"/>
    <w:rsid w:val="009D7A10"/>
    <w:rsid w:val="00A067AE"/>
    <w:rsid w:val="00A577B7"/>
    <w:rsid w:val="00A61E30"/>
    <w:rsid w:val="00A80696"/>
    <w:rsid w:val="00A80B47"/>
    <w:rsid w:val="00A95F00"/>
    <w:rsid w:val="00AF2A30"/>
    <w:rsid w:val="00B008FA"/>
    <w:rsid w:val="00B0663E"/>
    <w:rsid w:val="00B07E5D"/>
    <w:rsid w:val="00B12C27"/>
    <w:rsid w:val="00B43B6F"/>
    <w:rsid w:val="00B5015B"/>
    <w:rsid w:val="00B53AC0"/>
    <w:rsid w:val="00B57D1B"/>
    <w:rsid w:val="00B82D10"/>
    <w:rsid w:val="00C0266B"/>
    <w:rsid w:val="00C07D48"/>
    <w:rsid w:val="00C14213"/>
    <w:rsid w:val="00C31E1E"/>
    <w:rsid w:val="00C449F5"/>
    <w:rsid w:val="00C532D5"/>
    <w:rsid w:val="00CA3CEC"/>
    <w:rsid w:val="00CB5E05"/>
    <w:rsid w:val="00CC6C99"/>
    <w:rsid w:val="00CD1652"/>
    <w:rsid w:val="00D059A5"/>
    <w:rsid w:val="00D33BC1"/>
    <w:rsid w:val="00D53616"/>
    <w:rsid w:val="00D56C9D"/>
    <w:rsid w:val="00D65FDF"/>
    <w:rsid w:val="00D85C7D"/>
    <w:rsid w:val="00DF469A"/>
    <w:rsid w:val="00E01CAF"/>
    <w:rsid w:val="00E07D1A"/>
    <w:rsid w:val="00E14062"/>
    <w:rsid w:val="00E24049"/>
    <w:rsid w:val="00E26BBF"/>
    <w:rsid w:val="00E323D7"/>
    <w:rsid w:val="00E44476"/>
    <w:rsid w:val="00E61B22"/>
    <w:rsid w:val="00E61D13"/>
    <w:rsid w:val="00E6637E"/>
    <w:rsid w:val="00E7578E"/>
    <w:rsid w:val="00EA3A6F"/>
    <w:rsid w:val="00EA6478"/>
    <w:rsid w:val="00ED2E8C"/>
    <w:rsid w:val="00ED7617"/>
    <w:rsid w:val="00EE0783"/>
    <w:rsid w:val="00EE0B8A"/>
    <w:rsid w:val="00EF53DE"/>
    <w:rsid w:val="00F27E62"/>
    <w:rsid w:val="00F27F43"/>
    <w:rsid w:val="00F339D4"/>
    <w:rsid w:val="00F364FD"/>
    <w:rsid w:val="00F40FFB"/>
    <w:rsid w:val="00F46730"/>
    <w:rsid w:val="00F64204"/>
    <w:rsid w:val="00F66F2E"/>
    <w:rsid w:val="00F7306F"/>
    <w:rsid w:val="00F732A7"/>
    <w:rsid w:val="00F76999"/>
    <w:rsid w:val="00F94E7A"/>
    <w:rsid w:val="00FA1F4A"/>
    <w:rsid w:val="00FC0B90"/>
    <w:rsid w:val="00FD197B"/>
    <w:rsid w:val="00FF2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C86"/>
    <w:rPr>
      <w:rFonts w:ascii="Garamond" w:hAnsi="Garamond"/>
      <w:color w:val="000000"/>
      <w:sz w:val="24"/>
      <w:szCs w:val="24"/>
    </w:rPr>
  </w:style>
  <w:style w:type="paragraph" w:styleId="Heading1">
    <w:name w:val="heading 1"/>
    <w:basedOn w:val="Normal"/>
    <w:next w:val="Normal"/>
    <w:qFormat/>
    <w:rsid w:val="00917C86"/>
    <w:pPr>
      <w:keepNext/>
      <w:spacing w:before="240" w:after="60"/>
      <w:outlineLvl w:val="0"/>
    </w:pPr>
    <w:rPr>
      <w:rFonts w:ascii="Verdana" w:hAnsi="Verdana" w:cs="Arial"/>
      <w:b/>
      <w:bCs/>
      <w:kern w:val="32"/>
      <w:sz w:val="32"/>
      <w:szCs w:val="32"/>
    </w:rPr>
  </w:style>
  <w:style w:type="paragraph" w:styleId="Heading2">
    <w:name w:val="heading 2"/>
    <w:basedOn w:val="Normal"/>
    <w:next w:val="Normal"/>
    <w:qFormat/>
    <w:rsid w:val="00917C86"/>
    <w:pPr>
      <w:keepNext/>
      <w:spacing w:before="240" w:after="60"/>
      <w:outlineLvl w:val="1"/>
    </w:pPr>
    <w:rPr>
      <w:rFonts w:ascii="Verdana" w:hAnsi="Verdana" w:cs="Arial"/>
      <w:sz w:val="28"/>
      <w:szCs w:val="28"/>
    </w:rPr>
  </w:style>
  <w:style w:type="paragraph" w:styleId="Heading3">
    <w:name w:val="heading 3"/>
    <w:basedOn w:val="Normal"/>
    <w:next w:val="Normal"/>
    <w:qFormat/>
    <w:rsid w:val="00917C86"/>
    <w:pPr>
      <w:keepNext/>
      <w:spacing w:before="240" w:after="60"/>
      <w:outlineLvl w:val="2"/>
    </w:pPr>
    <w:rPr>
      <w:rFonts w:ascii="Verdana" w:hAnsi="Verdana" w:cs="Arial"/>
      <w:sz w:val="26"/>
      <w:szCs w:val="26"/>
    </w:rPr>
  </w:style>
  <w:style w:type="paragraph" w:styleId="Heading4">
    <w:name w:val="heading 4"/>
    <w:basedOn w:val="Normal"/>
    <w:next w:val="Normal"/>
    <w:qFormat/>
    <w:rsid w:val="00917C86"/>
    <w:pPr>
      <w:keepNext/>
      <w:spacing w:before="240" w:after="60"/>
      <w:outlineLvl w:val="3"/>
    </w:pPr>
    <w:rPr>
      <w:rFonts w:ascii="Verdana" w:hAnsi="Verdana"/>
      <w:sz w:val="28"/>
      <w:szCs w:val="28"/>
    </w:rPr>
  </w:style>
  <w:style w:type="paragraph" w:styleId="Heading5">
    <w:name w:val="heading 5"/>
    <w:basedOn w:val="Normal"/>
    <w:next w:val="Normal"/>
    <w:qFormat/>
    <w:rsid w:val="00917C86"/>
    <w:pPr>
      <w:spacing w:before="240" w:after="60"/>
      <w:outlineLvl w:val="4"/>
    </w:pPr>
    <w:rPr>
      <w:rFonts w:ascii="Verdana" w:hAnsi="Verdana"/>
      <w:sz w:val="26"/>
      <w:szCs w:val="26"/>
    </w:rPr>
  </w:style>
  <w:style w:type="paragraph" w:styleId="Heading6">
    <w:name w:val="heading 6"/>
    <w:basedOn w:val="Normal"/>
    <w:next w:val="Normal"/>
    <w:qFormat/>
    <w:rsid w:val="00917C86"/>
    <w:pPr>
      <w:spacing w:before="240" w:after="60"/>
      <w:outlineLvl w:val="5"/>
    </w:pPr>
    <w:rPr>
      <w:rFonts w:ascii="Verdana" w:hAnsi="Verdan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basedOn w:val="TableNormal"/>
    <w:rsid w:val="00917C86"/>
    <w:tblPr>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character" w:styleId="Hyperlink">
    <w:name w:val="Hyperlink"/>
    <w:basedOn w:val="DefaultParagraphFont"/>
    <w:rsid w:val="00917C86"/>
    <w:rPr>
      <w:color w:val="339999"/>
      <w:u w:val="single"/>
    </w:rPr>
  </w:style>
  <w:style w:type="character" w:styleId="FollowedHyperlink">
    <w:name w:val="FollowedHyperlink"/>
    <w:basedOn w:val="DefaultParagraphFont"/>
    <w:rsid w:val="00917C86"/>
    <w:rPr>
      <w:color w:val="999999"/>
      <w:u w:val="single"/>
    </w:rPr>
  </w:style>
  <w:style w:type="paragraph" w:styleId="Header">
    <w:name w:val="header"/>
    <w:basedOn w:val="Normal"/>
    <w:rsid w:val="00FD197B"/>
    <w:pPr>
      <w:tabs>
        <w:tab w:val="center" w:pos="4320"/>
        <w:tab w:val="right" w:pos="8640"/>
      </w:tabs>
    </w:pPr>
  </w:style>
  <w:style w:type="paragraph" w:styleId="Footer">
    <w:name w:val="footer"/>
    <w:basedOn w:val="Normal"/>
    <w:rsid w:val="00FD197B"/>
    <w:pPr>
      <w:tabs>
        <w:tab w:val="center" w:pos="4320"/>
        <w:tab w:val="right" w:pos="8640"/>
      </w:tabs>
    </w:pPr>
  </w:style>
  <w:style w:type="paragraph" w:styleId="BalloonText">
    <w:name w:val="Balloon Text"/>
    <w:basedOn w:val="Normal"/>
    <w:semiHidden/>
    <w:rsid w:val="004A0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6.emf"/><Relationship Id="rId4" Type="http://schemas.openxmlformats.org/officeDocument/2006/relationships/image" Target="media/image4.png"/><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17B36-514B-4D24-A3C1-7C0AA8BF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APPLICATION ENGINEERING</vt:lpstr>
    </vt:vector>
  </TitlesOfParts>
  <Company>York International UPG</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ENGINEERING</dc:title>
  <dc:subject/>
  <dc:creator>Bruce L Porter</dc:creator>
  <cp:keywords/>
  <dc:description/>
  <cp:lastModifiedBy>Bruce L Porter</cp:lastModifiedBy>
  <cp:revision>4</cp:revision>
  <cp:lastPrinted>2005-10-12T21:23:00Z</cp:lastPrinted>
  <dcterms:created xsi:type="dcterms:W3CDTF">2009-08-13T14:55:00Z</dcterms:created>
  <dcterms:modified xsi:type="dcterms:W3CDTF">2009-08-13T15:50:00Z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Eclipse 011</vt:lpwstr>
  </property>
</Properties>
</file>