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FF" w:rsidRDefault="00CF68FF"/>
    <w:p w:rsidR="00E41B3B" w:rsidRDefault="00085396">
      <w:pPr>
        <w:rPr>
          <w:rFonts w:ascii="Arial" w:hAnsi="Arial" w:cs="Arial"/>
          <w:sz w:val="21"/>
          <w:szCs w:val="21"/>
        </w:rPr>
      </w:pPr>
      <w:r>
        <w:rPr>
          <w:rStyle w:val="Strong"/>
          <w:rFonts w:ascii="Arial" w:hAnsi="Arial" w:cs="Arial"/>
          <w:sz w:val="32"/>
          <w:szCs w:val="21"/>
        </w:rPr>
        <w:t>Howard Gardner's multiple I</w:t>
      </w:r>
      <w:r w:rsidR="00E41B3B" w:rsidRPr="00E41B3B">
        <w:rPr>
          <w:rStyle w:val="Strong"/>
          <w:rFonts w:ascii="Arial" w:hAnsi="Arial" w:cs="Arial"/>
          <w:sz w:val="32"/>
          <w:szCs w:val="21"/>
        </w:rPr>
        <w:t>ntelligence</w:t>
      </w:r>
      <w:r w:rsidR="00E41B3B" w:rsidRPr="00E41B3B">
        <w:rPr>
          <w:rFonts w:ascii="Arial" w:hAnsi="Arial" w:cs="Arial"/>
          <w:sz w:val="32"/>
          <w:szCs w:val="21"/>
        </w:rPr>
        <w:t xml:space="preserve"> </w:t>
      </w:r>
      <w:r>
        <w:rPr>
          <w:rFonts w:ascii="Arial" w:hAnsi="Arial" w:cs="Arial"/>
          <w:b/>
          <w:sz w:val="32"/>
          <w:szCs w:val="21"/>
        </w:rPr>
        <w:t>T</w:t>
      </w:r>
      <w:r w:rsidR="00E41B3B" w:rsidRPr="00E41B3B">
        <w:rPr>
          <w:rFonts w:ascii="Arial" w:hAnsi="Arial" w:cs="Arial"/>
          <w:b/>
          <w:sz w:val="32"/>
          <w:szCs w:val="21"/>
        </w:rPr>
        <w:t>heory</w:t>
      </w:r>
      <w:r w:rsidR="00E41B3B">
        <w:rPr>
          <w:rFonts w:ascii="Arial" w:hAnsi="Arial" w:cs="Arial"/>
          <w:sz w:val="21"/>
          <w:szCs w:val="21"/>
        </w:rPr>
        <w:t>. Gardner pointed out that schools usually focus mainly on verbal-linguistic and logical-mathematical skills but that these fall into just two of eight categories of intelligence. Some students who are weak in these traditional areas may actually be highly intelligent in other areas.</w:t>
      </w:r>
    </w:p>
    <w:p w:rsidR="00E41B3B" w:rsidRDefault="00E41B3B">
      <w:pPr>
        <w:rPr>
          <w:rFonts w:ascii="Arial" w:hAnsi="Arial" w:cs="Arial"/>
          <w:sz w:val="21"/>
          <w:szCs w:val="21"/>
        </w:rPr>
      </w:pPr>
    </w:p>
    <w:p w:rsidR="00E41B3B" w:rsidRDefault="00E41B3B">
      <w:pPr>
        <w:rPr>
          <w:rFonts w:ascii="Arial" w:hAnsi="Arial" w:cs="Arial"/>
          <w:sz w:val="21"/>
          <w:szCs w:val="21"/>
        </w:rPr>
      </w:pPr>
    </w:p>
    <w:p w:rsidR="00E41B3B" w:rsidRDefault="00E41B3B"/>
    <w:tbl>
      <w:tblPr>
        <w:tblW w:w="0" w:type="auto"/>
        <w:tblLayout w:type="fixed"/>
        <w:tblCellMar>
          <w:top w:w="15" w:type="dxa"/>
          <w:left w:w="15" w:type="dxa"/>
          <w:bottom w:w="15" w:type="dxa"/>
          <w:right w:w="15" w:type="dxa"/>
        </w:tblCellMar>
        <w:tblLook w:val="04A0"/>
      </w:tblPr>
      <w:tblGrid>
        <w:gridCol w:w="3312"/>
        <w:gridCol w:w="3312"/>
        <w:gridCol w:w="3312"/>
      </w:tblGrid>
      <w:tr w:rsidR="00E41B3B" w:rsidRPr="00E41B3B" w:rsidTr="00E41B3B">
        <w:trPr>
          <w:trHeight w:val="432"/>
        </w:trPr>
        <w:tc>
          <w:tcPr>
            <w:tcW w:w="3312"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E41B3B" w:rsidRPr="00E41B3B" w:rsidRDefault="00E41B3B" w:rsidP="00E41B3B">
            <w:pPr>
              <w:spacing w:after="0" w:line="240" w:lineRule="auto"/>
              <w:outlineLvl w:val="2"/>
              <w:rPr>
                <w:rFonts w:ascii="Arial" w:eastAsia="Times New Roman" w:hAnsi="Arial" w:cs="Arial"/>
                <w:b/>
                <w:bCs/>
                <w:sz w:val="23"/>
                <w:szCs w:val="23"/>
              </w:rPr>
            </w:pPr>
            <w:r w:rsidRPr="00E41B3B">
              <w:rPr>
                <w:rFonts w:ascii="Arial" w:eastAsia="Times New Roman" w:hAnsi="Arial" w:cs="Arial"/>
                <w:b/>
                <w:bCs/>
                <w:sz w:val="23"/>
                <w:szCs w:val="23"/>
              </w:rPr>
              <w:t>Verbal-Linguistic</w:t>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1" name="Picture 1" descr="multiple intelligence verbal lingui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ple intelligence verbal linguistic"/>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sidRPr="00E41B3B">
              <w:rPr>
                <w:rFonts w:ascii="Arial" w:eastAsia="Times New Roman" w:hAnsi="Arial" w:cs="Arial"/>
                <w:sz w:val="21"/>
                <w:szCs w:val="21"/>
              </w:rPr>
              <w:t>People with high verbal-linguistic intelligence do well with words and therefore learn best through the traditional methods of reading and writing as well as listening and speaking.</w:t>
            </w:r>
          </w:p>
        </w:tc>
      </w:tr>
      <w:tr w:rsidR="00E41B3B" w:rsidRPr="00E41B3B" w:rsidTr="00E41B3B">
        <w:trPr>
          <w:trHeight w:val="432"/>
        </w:trPr>
        <w:tc>
          <w:tcPr>
            <w:tcW w:w="3312"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E41B3B" w:rsidRPr="00E41B3B" w:rsidRDefault="00E41B3B" w:rsidP="00E41B3B">
            <w:pPr>
              <w:spacing w:after="0" w:line="240" w:lineRule="auto"/>
              <w:outlineLvl w:val="2"/>
              <w:rPr>
                <w:rFonts w:ascii="Arial" w:eastAsia="Times New Roman" w:hAnsi="Arial" w:cs="Arial"/>
                <w:b/>
                <w:bCs/>
                <w:sz w:val="23"/>
                <w:szCs w:val="23"/>
              </w:rPr>
            </w:pPr>
            <w:r w:rsidRPr="00E41B3B">
              <w:rPr>
                <w:rFonts w:ascii="Arial" w:eastAsia="Times New Roman" w:hAnsi="Arial" w:cs="Arial"/>
                <w:b/>
                <w:bCs/>
                <w:sz w:val="23"/>
                <w:szCs w:val="23"/>
              </w:rPr>
              <w:t>Logical-Mathematical</w:t>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2" name="Picture 2" descr="Logical-Mathema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ical-Mathematical"/>
                          <pic:cNvPicPr>
                            <a:picLocks noChangeAspect="1" noChangeArrowheads="1"/>
                          </pic:cNvPicPr>
                        </pic:nvPicPr>
                        <pic:blipFill>
                          <a:blip r:embed="rId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sidRPr="00E41B3B">
              <w:rPr>
                <w:rFonts w:ascii="Arial" w:eastAsia="Times New Roman" w:hAnsi="Arial" w:cs="Arial"/>
                <w:sz w:val="21"/>
                <w:szCs w:val="21"/>
              </w:rPr>
              <w:t>People with high logical-mathematical intelligence do well with numbers and abstract reasoning and therefore learn best through problem-solving (IQ tests primarily measure this type of intelligence).</w:t>
            </w:r>
          </w:p>
        </w:tc>
      </w:tr>
      <w:tr w:rsidR="00E41B3B" w:rsidRPr="00E41B3B" w:rsidTr="00E41B3B">
        <w:trPr>
          <w:trHeight w:val="432"/>
        </w:trPr>
        <w:tc>
          <w:tcPr>
            <w:tcW w:w="3312"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E41B3B" w:rsidRPr="00E41B3B" w:rsidRDefault="00E41B3B" w:rsidP="00E41B3B">
            <w:pPr>
              <w:spacing w:after="0" w:line="240" w:lineRule="auto"/>
              <w:outlineLvl w:val="2"/>
              <w:rPr>
                <w:rFonts w:ascii="Arial" w:eastAsia="Times New Roman" w:hAnsi="Arial" w:cs="Arial"/>
                <w:b/>
                <w:bCs/>
                <w:sz w:val="23"/>
                <w:szCs w:val="23"/>
              </w:rPr>
            </w:pPr>
            <w:r w:rsidRPr="00E41B3B">
              <w:rPr>
                <w:rFonts w:ascii="Arial" w:eastAsia="Times New Roman" w:hAnsi="Arial" w:cs="Arial"/>
                <w:b/>
                <w:bCs/>
                <w:sz w:val="23"/>
                <w:szCs w:val="23"/>
              </w:rPr>
              <w:t>Visual-Spatial</w:t>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3" name="Picture 3" descr="Visual-Spa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ual-Spatial"/>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sidRPr="00E41B3B">
              <w:rPr>
                <w:rFonts w:ascii="Arial" w:eastAsia="Times New Roman" w:hAnsi="Arial" w:cs="Arial"/>
                <w:sz w:val="21"/>
                <w:szCs w:val="21"/>
              </w:rPr>
              <w:t xml:space="preserve">People with high visual-spatial intelligence do well with pictures, diagrams, and </w:t>
            </w:r>
            <w:hyperlink r:id="rId7" w:history="1">
              <w:r w:rsidRPr="00E41B3B">
                <w:rPr>
                  <w:rFonts w:ascii="Arial" w:eastAsia="Times New Roman" w:hAnsi="Arial" w:cs="Arial"/>
                  <w:color w:val="0000FF"/>
                  <w:sz w:val="21"/>
                  <w:u w:val="single"/>
                </w:rPr>
                <w:t>study charts</w:t>
              </w:r>
            </w:hyperlink>
            <w:r w:rsidRPr="00E41B3B">
              <w:rPr>
                <w:rFonts w:ascii="Arial" w:eastAsia="Times New Roman" w:hAnsi="Arial" w:cs="Arial"/>
                <w:sz w:val="21"/>
                <w:szCs w:val="21"/>
              </w:rPr>
              <w:t xml:space="preserve"> and therefore learn best through seeing the information visually and then visualizing it again later in their mind.</w:t>
            </w:r>
          </w:p>
        </w:tc>
      </w:tr>
      <w:tr w:rsidR="00E41B3B" w:rsidRPr="00E41B3B" w:rsidTr="00E41B3B">
        <w:trPr>
          <w:trHeight w:val="432"/>
        </w:trPr>
        <w:tc>
          <w:tcPr>
            <w:tcW w:w="3312"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E41B3B" w:rsidRPr="00E41B3B" w:rsidRDefault="00E41B3B" w:rsidP="00E41B3B">
            <w:pPr>
              <w:spacing w:after="0" w:line="240" w:lineRule="auto"/>
              <w:outlineLvl w:val="2"/>
              <w:rPr>
                <w:rFonts w:ascii="Arial" w:eastAsia="Times New Roman" w:hAnsi="Arial" w:cs="Arial"/>
                <w:b/>
                <w:bCs/>
                <w:sz w:val="23"/>
                <w:szCs w:val="23"/>
              </w:rPr>
            </w:pPr>
            <w:r w:rsidRPr="00E41B3B">
              <w:rPr>
                <w:rFonts w:ascii="Arial" w:eastAsia="Times New Roman" w:hAnsi="Arial" w:cs="Arial"/>
                <w:b/>
                <w:bCs/>
                <w:sz w:val="23"/>
                <w:szCs w:val="23"/>
              </w:rPr>
              <w:t>Bodily-Kinesthetic</w:t>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4" name="Picture 4" descr="Bodily-Kinesthe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dily-Kinesthetic"/>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sidRPr="00E41B3B">
              <w:rPr>
                <w:rFonts w:ascii="Arial" w:eastAsia="Times New Roman" w:hAnsi="Arial" w:cs="Arial"/>
                <w:sz w:val="21"/>
                <w:szCs w:val="21"/>
              </w:rPr>
              <w:t>People with high bodily-kinesthetic intelligence do well with physical activities and therefore learn best through hands-on experiences and by moving their body.</w:t>
            </w:r>
          </w:p>
        </w:tc>
      </w:tr>
      <w:tr w:rsidR="00E41B3B" w:rsidRPr="00E41B3B" w:rsidTr="00E41B3B">
        <w:trPr>
          <w:trHeight w:val="432"/>
        </w:trPr>
        <w:tc>
          <w:tcPr>
            <w:tcW w:w="3312"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E41B3B" w:rsidRPr="00E41B3B" w:rsidRDefault="00E41B3B" w:rsidP="00E41B3B">
            <w:pPr>
              <w:spacing w:after="0" w:line="240" w:lineRule="auto"/>
              <w:outlineLvl w:val="2"/>
              <w:rPr>
                <w:rFonts w:ascii="Arial" w:eastAsia="Times New Roman" w:hAnsi="Arial" w:cs="Arial"/>
                <w:b/>
                <w:bCs/>
                <w:sz w:val="23"/>
                <w:szCs w:val="23"/>
              </w:rPr>
            </w:pPr>
            <w:r w:rsidRPr="00E41B3B">
              <w:rPr>
                <w:rFonts w:ascii="Arial" w:eastAsia="Times New Roman" w:hAnsi="Arial" w:cs="Arial"/>
                <w:b/>
                <w:bCs/>
                <w:sz w:val="23"/>
                <w:szCs w:val="23"/>
              </w:rPr>
              <w:lastRenderedPageBreak/>
              <w:t>Musical-Rhythmic</w:t>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5" name="Picture 5" descr="Musical-Rhyth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sical-Rhythmic"/>
                          <pic:cNvPicPr>
                            <a:picLocks noChangeAspect="1" noChangeArrowheads="1"/>
                          </pic:cNvPicPr>
                        </pic:nvPicPr>
                        <pic:blipFill>
                          <a:blip r:embed="rId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sidRPr="00E41B3B">
              <w:rPr>
                <w:rFonts w:ascii="Arial" w:eastAsia="Times New Roman" w:hAnsi="Arial" w:cs="Arial"/>
                <w:sz w:val="21"/>
                <w:szCs w:val="21"/>
              </w:rPr>
              <w:t>People with high musical-rhythmic intelligence do well with rhythms and tones and therefore learn best through song or other auditory formats.</w:t>
            </w:r>
          </w:p>
        </w:tc>
      </w:tr>
      <w:tr w:rsidR="00E41B3B" w:rsidRPr="00E41B3B" w:rsidTr="00E41B3B">
        <w:trPr>
          <w:trHeight w:val="432"/>
        </w:trPr>
        <w:tc>
          <w:tcPr>
            <w:tcW w:w="3312"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E41B3B" w:rsidRPr="00E41B3B" w:rsidRDefault="00E41B3B" w:rsidP="00E41B3B">
            <w:pPr>
              <w:spacing w:after="0" w:line="240" w:lineRule="auto"/>
              <w:outlineLvl w:val="2"/>
              <w:rPr>
                <w:rFonts w:ascii="Arial" w:eastAsia="Times New Roman" w:hAnsi="Arial" w:cs="Arial"/>
                <w:b/>
                <w:bCs/>
                <w:sz w:val="23"/>
                <w:szCs w:val="23"/>
              </w:rPr>
            </w:pPr>
            <w:r w:rsidRPr="00E41B3B">
              <w:rPr>
                <w:rFonts w:ascii="Arial" w:eastAsia="Times New Roman" w:hAnsi="Arial" w:cs="Arial"/>
                <w:b/>
                <w:bCs/>
                <w:sz w:val="23"/>
                <w:szCs w:val="23"/>
              </w:rPr>
              <w:t>Interpersonal</w:t>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6" name="Picture 6" descr="Interpers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personal"/>
                          <pic:cNvPicPr>
                            <a:picLocks noChangeAspect="1" noChangeArrowheads="1"/>
                          </pic:cNvPicPr>
                        </pic:nvPicPr>
                        <pic:blipFill>
                          <a:blip r:embed="rId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sidRPr="00E41B3B">
              <w:rPr>
                <w:rFonts w:ascii="Arial" w:eastAsia="Times New Roman" w:hAnsi="Arial" w:cs="Arial"/>
                <w:sz w:val="21"/>
                <w:szCs w:val="21"/>
              </w:rPr>
              <w:t>People with high interpersonal intelligence do well with social experiences and therefore learn best through interacting and discussing information with others.</w:t>
            </w:r>
          </w:p>
        </w:tc>
      </w:tr>
      <w:tr w:rsidR="00E41B3B" w:rsidRPr="00E41B3B" w:rsidTr="00E41B3B">
        <w:trPr>
          <w:trHeight w:val="432"/>
        </w:trPr>
        <w:tc>
          <w:tcPr>
            <w:tcW w:w="3312"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E41B3B" w:rsidRPr="00E41B3B" w:rsidRDefault="00E41B3B" w:rsidP="00E41B3B">
            <w:pPr>
              <w:spacing w:after="0" w:line="240" w:lineRule="auto"/>
              <w:outlineLvl w:val="2"/>
              <w:rPr>
                <w:rFonts w:ascii="Arial" w:eastAsia="Times New Roman" w:hAnsi="Arial" w:cs="Arial"/>
                <w:b/>
                <w:bCs/>
                <w:sz w:val="23"/>
                <w:szCs w:val="23"/>
              </w:rPr>
            </w:pPr>
            <w:r w:rsidRPr="00E41B3B">
              <w:rPr>
                <w:rFonts w:ascii="Arial" w:eastAsia="Times New Roman" w:hAnsi="Arial" w:cs="Arial"/>
                <w:b/>
                <w:bCs/>
                <w:sz w:val="23"/>
                <w:szCs w:val="23"/>
              </w:rPr>
              <w:t>Intrapersonal</w:t>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7" name="Picture 7" descr="Intrapers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rapersonal"/>
                          <pic:cNvPicPr>
                            <a:picLocks noChangeAspect="1" noChangeArrowheads="1"/>
                          </pic:cNvPicPr>
                        </pic:nvPicPr>
                        <pic:blipFill>
                          <a:blip r:embed="rId1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sidRPr="00E41B3B">
              <w:rPr>
                <w:rFonts w:ascii="Arial" w:eastAsia="Times New Roman" w:hAnsi="Arial" w:cs="Arial"/>
                <w:sz w:val="21"/>
                <w:szCs w:val="21"/>
              </w:rPr>
              <w:t>People with high intrapersonal intelligence do well with self-reflection and therefore learn best by using their own intuition.</w:t>
            </w:r>
          </w:p>
        </w:tc>
      </w:tr>
      <w:tr w:rsidR="00E41B3B" w:rsidRPr="00E41B3B" w:rsidTr="00E41B3B">
        <w:trPr>
          <w:trHeight w:val="432"/>
        </w:trPr>
        <w:tc>
          <w:tcPr>
            <w:tcW w:w="3312"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E41B3B" w:rsidRPr="00E41B3B" w:rsidRDefault="00E41B3B" w:rsidP="00E41B3B">
            <w:pPr>
              <w:spacing w:after="0" w:line="240" w:lineRule="auto"/>
              <w:outlineLvl w:val="2"/>
              <w:rPr>
                <w:rFonts w:ascii="Arial" w:eastAsia="Times New Roman" w:hAnsi="Arial" w:cs="Arial"/>
                <w:b/>
                <w:bCs/>
                <w:sz w:val="23"/>
                <w:szCs w:val="23"/>
              </w:rPr>
            </w:pPr>
            <w:r w:rsidRPr="00E41B3B">
              <w:rPr>
                <w:rFonts w:ascii="Arial" w:eastAsia="Times New Roman" w:hAnsi="Arial" w:cs="Arial"/>
                <w:b/>
                <w:bCs/>
                <w:sz w:val="23"/>
                <w:szCs w:val="23"/>
              </w:rPr>
              <w:t>Natural</w:t>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8" name="Picture 8" descr="Na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tural"/>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3312" w:type="dxa"/>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E41B3B" w:rsidRPr="00E41B3B" w:rsidRDefault="00E41B3B" w:rsidP="00E41B3B">
            <w:pPr>
              <w:spacing w:after="0" w:line="240" w:lineRule="auto"/>
              <w:rPr>
                <w:rFonts w:ascii="Arial" w:eastAsia="Times New Roman" w:hAnsi="Arial" w:cs="Arial"/>
                <w:sz w:val="21"/>
                <w:szCs w:val="21"/>
              </w:rPr>
            </w:pPr>
            <w:r w:rsidRPr="00E41B3B">
              <w:rPr>
                <w:rFonts w:ascii="Arial" w:eastAsia="Times New Roman" w:hAnsi="Arial" w:cs="Arial"/>
                <w:sz w:val="21"/>
                <w:szCs w:val="21"/>
              </w:rPr>
              <w:t>People with high natural intelligence do well with the natural world and therefore learn best when they can learn outdoors in the "real world".</w:t>
            </w:r>
            <w:r w:rsidRPr="00E41B3B">
              <w:rPr>
                <w:rFonts w:ascii="Arial" w:eastAsia="Times New Roman" w:hAnsi="Arial" w:cs="Arial"/>
                <w:sz w:val="21"/>
                <w:szCs w:val="21"/>
              </w:rPr>
              <w:br/>
            </w:r>
            <w:r w:rsidRPr="00E41B3B">
              <w:rPr>
                <w:rFonts w:ascii="Arial" w:eastAsia="Times New Roman" w:hAnsi="Arial" w:cs="Arial"/>
                <w:sz w:val="21"/>
                <w:szCs w:val="21"/>
              </w:rPr>
              <w:br/>
              <w:t>(This eighth intelligence was later added to the original seven)</w:t>
            </w:r>
          </w:p>
        </w:tc>
      </w:tr>
    </w:tbl>
    <w:p w:rsidR="00E41B3B" w:rsidRDefault="00E41B3B"/>
    <w:sectPr w:rsidR="00E41B3B" w:rsidSect="00CF68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41B3B"/>
    <w:rsid w:val="00085396"/>
    <w:rsid w:val="00CF68FF"/>
    <w:rsid w:val="00E41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8FF"/>
  </w:style>
  <w:style w:type="paragraph" w:styleId="Heading3">
    <w:name w:val="heading 3"/>
    <w:basedOn w:val="Normal"/>
    <w:link w:val="Heading3Char"/>
    <w:uiPriority w:val="9"/>
    <w:qFormat/>
    <w:rsid w:val="00E41B3B"/>
    <w:pPr>
      <w:spacing w:after="0" w:line="240" w:lineRule="auto"/>
      <w:outlineLvl w:val="2"/>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1B3B"/>
    <w:rPr>
      <w:rFonts w:ascii="Times New Roman" w:eastAsia="Times New Roman" w:hAnsi="Times New Roman" w:cs="Times New Roman"/>
      <w:b/>
      <w:bCs/>
      <w:sz w:val="23"/>
      <w:szCs w:val="23"/>
    </w:rPr>
  </w:style>
  <w:style w:type="character" w:styleId="Hyperlink">
    <w:name w:val="Hyperlink"/>
    <w:basedOn w:val="DefaultParagraphFont"/>
    <w:uiPriority w:val="99"/>
    <w:semiHidden/>
    <w:unhideWhenUsed/>
    <w:rsid w:val="00E41B3B"/>
    <w:rPr>
      <w:color w:val="0000FF"/>
      <w:u w:val="single"/>
    </w:rPr>
  </w:style>
  <w:style w:type="paragraph" w:styleId="BalloonText">
    <w:name w:val="Balloon Text"/>
    <w:basedOn w:val="Normal"/>
    <w:link w:val="BalloonTextChar"/>
    <w:uiPriority w:val="99"/>
    <w:semiHidden/>
    <w:unhideWhenUsed/>
    <w:rsid w:val="00E41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B3B"/>
    <w:rPr>
      <w:rFonts w:ascii="Tahoma" w:hAnsi="Tahoma" w:cs="Tahoma"/>
      <w:sz w:val="16"/>
      <w:szCs w:val="16"/>
    </w:rPr>
  </w:style>
  <w:style w:type="character" w:styleId="Strong">
    <w:name w:val="Strong"/>
    <w:basedOn w:val="DefaultParagraphFont"/>
    <w:uiPriority w:val="22"/>
    <w:qFormat/>
    <w:rsid w:val="00E41B3B"/>
    <w:rPr>
      <w:b/>
      <w:bCs/>
    </w:rPr>
  </w:style>
</w:styles>
</file>

<file path=word/webSettings.xml><?xml version="1.0" encoding="utf-8"?>
<w:webSettings xmlns:r="http://schemas.openxmlformats.org/officeDocument/2006/relationships" xmlns:w="http://schemas.openxmlformats.org/wordprocessingml/2006/main">
  <w:divs>
    <w:div w:id="1285229820">
      <w:bodyDiv w:val="1"/>
      <w:marLeft w:val="0"/>
      <w:marRight w:val="0"/>
      <w:marTop w:val="0"/>
      <w:marBottom w:val="0"/>
      <w:divBdr>
        <w:top w:val="none" w:sz="0" w:space="0" w:color="auto"/>
        <w:left w:val="none" w:sz="0" w:space="0" w:color="auto"/>
        <w:bottom w:val="none" w:sz="0" w:space="0" w:color="auto"/>
        <w:right w:val="none" w:sz="0" w:space="0" w:color="auto"/>
      </w:divBdr>
      <w:divsChild>
        <w:div w:id="809441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sychologycharts.com/" TargetMode="External"/><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288</Words>
  <Characters>1643</Characters>
  <Application>Microsoft Office Word</Application>
  <DocSecurity>0</DocSecurity>
  <Lines>13</Lines>
  <Paragraphs>3</Paragraphs>
  <ScaleCrop>false</ScaleCrop>
  <Company>UCS</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Hopkins</dc:creator>
  <cp:lastModifiedBy>John Hopkins</cp:lastModifiedBy>
  <cp:revision>2</cp:revision>
  <dcterms:created xsi:type="dcterms:W3CDTF">2015-08-01T19:56:00Z</dcterms:created>
  <dcterms:modified xsi:type="dcterms:W3CDTF">2015-08-01T20:02:00Z</dcterms:modified>
</cp:coreProperties>
</file>